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DE5" w:rsidP="00CA2DE5" w:rsidRDefault="00CA2DE5" w14:paraId="75786490" w14:textId="77777777">
      <w:pPr>
        <w:pStyle w:val="BodyText"/>
        <w:spacing w:before="120" w:after="120"/>
        <w:rPr>
          <w:kern w:val="2"/>
          <w:sz w:val="16"/>
          <w:szCs w:val="16"/>
        </w:rPr>
      </w:pPr>
    </w:p>
    <w:tbl>
      <w:tblPr>
        <w:tblW w:w="5000" w:type="pct"/>
        <w:tblLook w:val="04A0" w:firstRow="1" w:lastRow="0" w:firstColumn="1" w:lastColumn="0" w:noHBand="0" w:noVBand="1"/>
      </w:tblPr>
      <w:tblGrid>
        <w:gridCol w:w="9026"/>
      </w:tblGrid>
      <w:tr w:rsidRPr="00AF2213" w:rsidR="00CA2DE5" w:rsidTr="009A2DC5" w14:paraId="47F1DDCA" w14:textId="77777777">
        <w:tc>
          <w:tcPr>
            <w:tcW w:w="5000" w:type="pct"/>
            <w:tcBorders>
              <w:top w:val="double" w:color="auto" w:sz="6" w:space="0"/>
              <w:left w:val="double" w:color="auto" w:sz="6" w:space="0"/>
              <w:bottom w:val="double" w:color="auto" w:sz="6" w:space="0"/>
              <w:right w:val="double" w:color="auto" w:sz="6" w:space="0"/>
            </w:tcBorders>
            <w:hideMark/>
          </w:tcPr>
          <w:p w:rsidR="00CA2DE5" w:rsidP="00653A67" w:rsidRDefault="00653A67" w14:paraId="510BACD2" w14:textId="3F348622">
            <w:pPr>
              <w:pStyle w:val="BodyText"/>
              <w:spacing w:before="120" w:after="120"/>
              <w:jc w:val="left"/>
              <w:rPr>
                <w:kern w:val="2"/>
                <w:sz w:val="16"/>
                <w:szCs w:val="16"/>
              </w:rPr>
            </w:pPr>
            <w:r w:rsidRPr="00653A67">
              <w:rPr>
                <w:b/>
                <w:bCs/>
                <w:sz w:val="16"/>
                <w:szCs w:val="16"/>
              </w:rPr>
              <w:t>This "</w:t>
            </w:r>
            <w:bookmarkStart w:name="_Hlk167778918" w:id="0"/>
            <w:r>
              <w:rPr>
                <w:b/>
                <w:bCs/>
                <w:sz w:val="16"/>
                <w:szCs w:val="16"/>
              </w:rPr>
              <w:t>FAAN Borrowing Base Ancillary – Guidance Note</w:t>
            </w:r>
            <w:bookmarkEnd w:id="0"/>
            <w:r w:rsidRPr="00653A67">
              <w:rPr>
                <w:b/>
                <w:bCs/>
                <w:sz w:val="16"/>
                <w:szCs w:val="16"/>
              </w:rPr>
              <w:t xml:space="preserve">" is not intended to be completely comprehensive. Rather, it seeks to provide an introduction to </w:t>
            </w:r>
            <w:r>
              <w:rPr>
                <w:b/>
                <w:bCs/>
                <w:sz w:val="16"/>
                <w:szCs w:val="16"/>
              </w:rPr>
              <w:t xml:space="preserve">the </w:t>
            </w:r>
            <w:r w:rsidR="00E21F69">
              <w:rPr>
                <w:b/>
                <w:bCs/>
                <w:sz w:val="16"/>
                <w:szCs w:val="16"/>
              </w:rPr>
              <w:t xml:space="preserve">FAAN </w:t>
            </w:r>
            <w:r>
              <w:rPr>
                <w:b/>
                <w:bCs/>
                <w:sz w:val="16"/>
                <w:szCs w:val="16"/>
              </w:rPr>
              <w:t>Borrowing Base Ancillary Facility</w:t>
            </w:r>
            <w:r w:rsidR="00E21F69">
              <w:rPr>
                <w:b/>
                <w:bCs/>
                <w:sz w:val="16"/>
                <w:szCs w:val="16"/>
              </w:rPr>
              <w:t xml:space="preserve"> (as defined below)</w:t>
            </w:r>
            <w:r>
              <w:rPr>
                <w:b/>
                <w:bCs/>
                <w:sz w:val="16"/>
                <w:szCs w:val="16"/>
              </w:rPr>
              <w:t xml:space="preserve"> </w:t>
            </w:r>
            <w:r w:rsidRPr="00653A67">
              <w:rPr>
                <w:b/>
                <w:bCs/>
                <w:sz w:val="16"/>
                <w:szCs w:val="16"/>
              </w:rPr>
              <w:t xml:space="preserve">and </w:t>
            </w:r>
            <w:r>
              <w:rPr>
                <w:b/>
                <w:bCs/>
                <w:sz w:val="16"/>
                <w:szCs w:val="16"/>
              </w:rPr>
              <w:t>its</w:t>
            </w:r>
            <w:r w:rsidRPr="00653A67">
              <w:rPr>
                <w:b/>
                <w:bCs/>
                <w:sz w:val="16"/>
                <w:szCs w:val="16"/>
              </w:rPr>
              <w:t xml:space="preserve"> treatment in</w:t>
            </w:r>
            <w:r>
              <w:rPr>
                <w:b/>
                <w:bCs/>
                <w:sz w:val="16"/>
                <w:szCs w:val="16"/>
              </w:rPr>
              <w:t xml:space="preserve"> combination with</w:t>
            </w:r>
            <w:r w:rsidRPr="00653A67">
              <w:rPr>
                <w:b/>
                <w:bCs/>
                <w:sz w:val="16"/>
                <w:szCs w:val="16"/>
              </w:rPr>
              <w:t xml:space="preserve"> LMA facility documentation. Most importantly, this publication is not designed to provide legal or other advice on any matter whatsoever.</w:t>
            </w:r>
          </w:p>
        </w:tc>
      </w:tr>
    </w:tbl>
    <w:p w:rsidR="00321EFE" w:rsidRDefault="00321EFE" w14:paraId="1B19E980" w14:textId="77777777"/>
    <w:p w:rsidRPr="00653A67" w:rsidR="00653A67" w:rsidP="00653A67" w:rsidRDefault="00653A67" w14:paraId="149BF037" w14:textId="27820F8B">
      <w:pPr>
        <w:pStyle w:val="ListParagraph"/>
        <w:numPr>
          <w:ilvl w:val="0"/>
          <w:numId w:val="1"/>
        </w:numPr>
        <w:rPr>
          <w:b/>
          <w:bCs/>
        </w:rPr>
      </w:pPr>
      <w:r w:rsidRPr="00653A67">
        <w:rPr>
          <w:b/>
          <w:bCs/>
        </w:rPr>
        <w:t xml:space="preserve">Introduction </w:t>
      </w:r>
    </w:p>
    <w:p w:rsidR="00E21F69" w:rsidP="00435F24" w:rsidRDefault="00E21F69" w14:paraId="7440763D" w14:textId="13FCC485">
      <w:r>
        <w:t xml:space="preserve">Reference is made to the template Ancillary Document developed on behalf of FAAN and its members </w:t>
      </w:r>
      <w:r w:rsidR="008E2E77">
        <w:t xml:space="preserve">for purposes of its </w:t>
      </w:r>
      <w:r>
        <w:t>"borrowing base" financings (the "</w:t>
      </w:r>
      <w:r w:rsidRPr="00435F24">
        <w:rPr>
          <w:b/>
          <w:bCs/>
        </w:rPr>
        <w:t>FAAN Borrowing Base Ancillary Document</w:t>
      </w:r>
      <w:r>
        <w:t>").</w:t>
      </w:r>
    </w:p>
    <w:p w:rsidR="00E21F69" w:rsidP="00435F24" w:rsidRDefault="00E21F69" w14:paraId="71FEFABF" w14:textId="2A96DAE0">
      <w:r>
        <w:t xml:space="preserve">This guidance note </w:t>
      </w:r>
      <w:r w:rsidRPr="00E21F69">
        <w:t>provide</w:t>
      </w:r>
      <w:r>
        <w:t>s</w:t>
      </w:r>
      <w:r w:rsidRPr="00E21F69">
        <w:t xml:space="preserve"> an introduction to the </w:t>
      </w:r>
      <w:r>
        <w:t xml:space="preserve">FAAN </w:t>
      </w:r>
      <w:r w:rsidRPr="00E21F69">
        <w:t>Borrowing Base Ancillary Facility and its treatment in combination with LMA facility documentation</w:t>
      </w:r>
      <w:r>
        <w:t>.</w:t>
      </w:r>
      <w:r w:rsidR="00135045">
        <w:t xml:space="preserve"> </w:t>
      </w:r>
    </w:p>
    <w:p w:rsidR="00435F24" w:rsidP="00653A67" w:rsidRDefault="00653A67" w14:paraId="595A402B" w14:textId="285E9461">
      <w:r>
        <w:t>All capitalised terms which are not otherwise defined in this guidance note have the meaning given to them in</w:t>
      </w:r>
      <w:r w:rsidR="00E21F69">
        <w:t xml:space="preserve"> the </w:t>
      </w:r>
      <w:r w:rsidRPr="00E21F69" w:rsidR="00E21F69">
        <w:t>FAAN Borrowing Base Ancillary Document</w:t>
      </w:r>
      <w:r w:rsidR="00E21F69">
        <w:t>.</w:t>
      </w:r>
    </w:p>
    <w:p w:rsidR="008E2E77" w:rsidP="00E21F69" w:rsidRDefault="008E2E77" w14:paraId="176FD08B" w14:textId="2218AB2F">
      <w:pPr>
        <w:pStyle w:val="ListParagraph"/>
        <w:numPr>
          <w:ilvl w:val="0"/>
          <w:numId w:val="1"/>
        </w:numPr>
        <w:rPr>
          <w:b/>
          <w:bCs/>
        </w:rPr>
      </w:pPr>
      <w:r>
        <w:rPr>
          <w:b/>
          <w:bCs/>
        </w:rPr>
        <w:t>Applicability</w:t>
      </w:r>
    </w:p>
    <w:p w:rsidR="00E21F69" w:rsidP="008F6F4C" w:rsidRDefault="008E2E77" w14:paraId="227D81CC" w14:textId="406FF80D">
      <w:r>
        <w:t xml:space="preserve">The FAAN Borrowing Base Ancillary Facility Document has been developed for situations where cashflow financing is combined with a borrowing base facility </w:t>
      </w:r>
      <w:r w:rsidR="00D11D7A">
        <w:t xml:space="preserve">provided by one or more member(s) of FAAN </w:t>
      </w:r>
      <w:r>
        <w:t>(the "</w:t>
      </w:r>
      <w:r w:rsidRPr="008E2E77">
        <w:rPr>
          <w:b/>
          <w:bCs/>
        </w:rPr>
        <w:t>Borrowing Base Facility</w:t>
      </w:r>
      <w:r>
        <w:t>").</w:t>
      </w:r>
    </w:p>
    <w:p w:rsidR="008E2E77" w:rsidP="008F6F4C" w:rsidRDefault="008E2E77" w14:paraId="1647A26D" w14:textId="54A81562">
      <w:r>
        <w:t>The FAAN Borrowing Base Ancillary Facility Document has been prepared under the assumption that:</w:t>
      </w:r>
    </w:p>
    <w:p w:rsidRPr="00267B79" w:rsidR="008E2E77" w:rsidP="00512F77" w:rsidRDefault="00267B79" w14:paraId="44415E73" w14:textId="478EB0F4">
      <w:pPr>
        <w:pStyle w:val="ListParagraph"/>
        <w:numPr>
          <w:ilvl w:val="0"/>
          <w:numId w:val="3"/>
        </w:numPr>
        <w:contextualSpacing w:val="0"/>
      </w:pPr>
      <w:r>
        <w:t xml:space="preserve">there will be </w:t>
      </w:r>
      <w:r w:rsidRPr="00E21F69" w:rsidR="008E2E77">
        <w:t>LMA facility documentation</w:t>
      </w:r>
      <w:r w:rsidR="008E2E77">
        <w:t xml:space="preserve"> in place</w:t>
      </w:r>
      <w:r w:rsidR="00D11D7A">
        <w:t>,</w:t>
      </w:r>
      <w:r w:rsidR="00183085">
        <w:t xml:space="preserve"> which is based on the LMA senior multicurrency term and revolving facilities agreement for leveraged acquisition finance transactions</w:t>
      </w:r>
      <w:r w:rsidR="00D9688D">
        <w:t xml:space="preserve"> (the "</w:t>
      </w:r>
      <w:r w:rsidRPr="00435F24" w:rsidR="00D9688D">
        <w:rPr>
          <w:b/>
          <w:bCs/>
        </w:rPr>
        <w:t>LMA Leveraged Document</w:t>
      </w:r>
      <w:r w:rsidR="00D9688D">
        <w:t>")</w:t>
      </w:r>
      <w:r>
        <w:rPr>
          <w:lang w:val="en-US"/>
        </w:rPr>
        <w:t xml:space="preserve">, subject to certain required changes (see paragraph </w:t>
      </w:r>
      <w:r>
        <w:rPr>
          <w:lang w:val="en-US"/>
        </w:rPr>
        <w:fldChar w:fldCharType="begin"/>
      </w:r>
      <w:r>
        <w:rPr>
          <w:lang w:val="en-US"/>
        </w:rPr>
        <w:instrText xml:space="preserve"> REF _Ref167457803 \r \h </w:instrText>
      </w:r>
      <w:r>
        <w:rPr>
          <w:lang w:val="en-US"/>
        </w:rPr>
      </w:r>
      <w:r>
        <w:rPr>
          <w:lang w:val="en-US"/>
        </w:rPr>
        <w:fldChar w:fldCharType="separate"/>
      </w:r>
      <w:r>
        <w:rPr>
          <w:lang w:val="en-US"/>
        </w:rPr>
        <w:t>3</w:t>
      </w:r>
      <w:r>
        <w:rPr>
          <w:lang w:val="en-US"/>
        </w:rPr>
        <w:fldChar w:fldCharType="end"/>
      </w:r>
      <w:r>
        <w:rPr>
          <w:lang w:val="en-US"/>
        </w:rPr>
        <w:t xml:space="preserve"> below)</w:t>
      </w:r>
      <w:r w:rsidR="007D141F">
        <w:rPr>
          <w:lang w:val="en-US"/>
        </w:rPr>
        <w:t>;</w:t>
      </w:r>
      <w:r w:rsidR="00D11D7A">
        <w:rPr>
          <w:rStyle w:val="FootnoteReference"/>
          <w:lang w:val="en-US"/>
        </w:rPr>
        <w:footnoteReference w:id="1"/>
      </w:r>
    </w:p>
    <w:p w:rsidR="008E2E77" w:rsidP="008E2E77" w:rsidRDefault="008E2E77" w14:paraId="74CAF724" w14:textId="6BE302A4">
      <w:pPr>
        <w:pStyle w:val="ListParagraph"/>
        <w:numPr>
          <w:ilvl w:val="0"/>
          <w:numId w:val="3"/>
        </w:numPr>
        <w:contextualSpacing w:val="0"/>
      </w:pPr>
      <w:r>
        <w:t xml:space="preserve">all of the Borrowing Base Facility Commitments will be made available as an Ancillary Facility under the FAAN Borrowing Base Ancillary Facility Document, which shall be entered into between, amongst others, the relevant Borrowers under the Borrowing Base Facility, the Borrowing Base Agent and the </w:t>
      </w:r>
      <w:r w:rsidR="00806F18">
        <w:t xml:space="preserve">Lenders under the </w:t>
      </w:r>
      <w:r>
        <w:t xml:space="preserve">Borrowing Base </w:t>
      </w:r>
      <w:r w:rsidR="00806F18">
        <w:t>Facility</w:t>
      </w:r>
      <w:r w:rsidR="007D141F">
        <w:t>;</w:t>
      </w:r>
      <w:r w:rsidR="00D32AF6">
        <w:rPr>
          <w:rStyle w:val="FootnoteReference"/>
        </w:rPr>
        <w:footnoteReference w:id="2"/>
      </w:r>
    </w:p>
    <w:p w:rsidR="00D32AF6" w:rsidP="008E2E77" w:rsidRDefault="000E1C56" w14:paraId="5DDD53B8" w14:textId="562ED0DA">
      <w:pPr>
        <w:pStyle w:val="ListParagraph"/>
        <w:numPr>
          <w:ilvl w:val="0"/>
          <w:numId w:val="3"/>
        </w:numPr>
        <w:contextualSpacing w:val="0"/>
      </w:pPr>
      <w:r>
        <w:t>the Lenders under the Facilities (other than the Borrowing Base Facility) are Holding Companies or Affiliates of the Lenders under the Borrowing Base Facility</w:t>
      </w:r>
      <w:r w:rsidR="007D141F">
        <w:t>;</w:t>
      </w:r>
      <w:r>
        <w:rPr>
          <w:rStyle w:val="FootnoteReference"/>
        </w:rPr>
        <w:footnoteReference w:id="3"/>
      </w:r>
    </w:p>
    <w:p w:rsidR="004B48B5" w:rsidP="008E2E77" w:rsidRDefault="004B48B5" w14:paraId="267C8CBD" w14:textId="38264B9F">
      <w:pPr>
        <w:pStyle w:val="ListParagraph"/>
        <w:numPr>
          <w:ilvl w:val="0"/>
          <w:numId w:val="3"/>
        </w:numPr>
        <w:contextualSpacing w:val="0"/>
      </w:pPr>
      <w:r>
        <w:lastRenderedPageBreak/>
        <w:t>the debt structure and selected lending syndicate does not require an intercreditor to be put in place;</w:t>
      </w:r>
      <w:r>
        <w:rPr>
          <w:rStyle w:val="FootnoteReference"/>
        </w:rPr>
        <w:footnoteReference w:id="4"/>
      </w:r>
    </w:p>
    <w:p w:rsidR="00267B79" w:rsidP="008F6F4C" w:rsidRDefault="00267B79" w14:paraId="0EC935EF" w14:textId="385382B3">
      <w:pPr>
        <w:pStyle w:val="ListParagraph"/>
        <w:numPr>
          <w:ilvl w:val="0"/>
          <w:numId w:val="3"/>
        </w:numPr>
        <w:contextualSpacing w:val="0"/>
      </w:pPr>
      <w:r>
        <w:t>the Lenders under the Borrowing Base Facility have separate acceleration rights in respect of the Borrowing Base Facility Commitments (including instructions rights in respect of the Borrowing Base Agent and Borrowing Base Security Agent)</w:t>
      </w:r>
      <w:r w:rsidR="007D141F">
        <w:t>;</w:t>
      </w:r>
    </w:p>
    <w:p w:rsidR="00D9688D" w:rsidP="008F6F4C" w:rsidRDefault="00D9688D" w14:paraId="7222DBF3" w14:textId="3EC9B8CC">
      <w:pPr>
        <w:pStyle w:val="ListParagraph"/>
        <w:numPr>
          <w:ilvl w:val="0"/>
          <w:numId w:val="3"/>
        </w:numPr>
        <w:contextualSpacing w:val="0"/>
      </w:pPr>
      <w:r>
        <w:t>the Borrowing Base Facility is provided on a secured recourse basis</w:t>
      </w:r>
      <w:r w:rsidR="007D141F">
        <w:t>; and</w:t>
      </w:r>
    </w:p>
    <w:p w:rsidR="004971F9" w:rsidP="008F6F4C" w:rsidRDefault="00183085" w14:paraId="604E99E2" w14:textId="70CE3D15">
      <w:pPr>
        <w:pStyle w:val="ListParagraph"/>
        <w:numPr>
          <w:ilvl w:val="0"/>
          <w:numId w:val="3"/>
        </w:numPr>
      </w:pPr>
      <w:r>
        <w:t>the Ancillary Borrowers are incorporated in the Netherlands.</w:t>
      </w:r>
      <w:r>
        <w:rPr>
          <w:rStyle w:val="FootnoteReference"/>
        </w:rPr>
        <w:footnoteReference w:id="5"/>
      </w:r>
      <w:r>
        <w:t xml:space="preserve"> </w:t>
      </w:r>
    </w:p>
    <w:p w:rsidR="00D626F8" w:rsidP="00B733AA" w:rsidRDefault="00D626F8" w14:paraId="5CD72672" w14:textId="67F32A34">
      <w:r>
        <w:t xml:space="preserve">The FAAN Borrowing Base Ancillary Facility Document is the market standard for all members of FAAN for situations where such member is offering a Borrowing Base Facility as Ancillary Facility under an </w:t>
      </w:r>
      <w:r w:rsidRPr="00D626F8">
        <w:t>LMA Leveraged Document</w:t>
      </w:r>
      <w:r>
        <w:t xml:space="preserve"> (subject to the above assumptions and the other terms of this guidance note. The members of FAAN apply a "comply or explain" approach, which means that any deviations from the FAAN Borrowing Base Ancillary Facility Document </w:t>
      </w:r>
      <w:r w:rsidR="00B359BE">
        <w:t>that are not directly related to the commercial negotiations of a specific transaction (</w:t>
      </w:r>
      <w:r>
        <w:t xml:space="preserve">including deviations from terminology) should be explained by the drafting counsel and/or the relevant market parties requesting such deviations. </w:t>
      </w:r>
    </w:p>
    <w:p w:rsidR="00E21F69" w:rsidP="00267B79" w:rsidRDefault="004E58B9" w14:paraId="537E7CFF" w14:textId="5149B868">
      <w:pPr>
        <w:pStyle w:val="ListParagraph"/>
        <w:numPr>
          <w:ilvl w:val="0"/>
          <w:numId w:val="1"/>
        </w:numPr>
        <w:rPr>
          <w:b/>
          <w:bCs/>
        </w:rPr>
      </w:pPr>
      <w:bookmarkStart w:name="_Ref167457803" w:id="1"/>
      <w:r>
        <w:rPr>
          <w:b/>
          <w:bCs/>
        </w:rPr>
        <w:t xml:space="preserve">Structural </w:t>
      </w:r>
      <w:r w:rsidR="00267B79">
        <w:rPr>
          <w:b/>
          <w:bCs/>
        </w:rPr>
        <w:t xml:space="preserve">changes </w:t>
      </w:r>
      <w:r>
        <w:rPr>
          <w:b/>
          <w:bCs/>
        </w:rPr>
        <w:t xml:space="preserve">required </w:t>
      </w:r>
      <w:r w:rsidR="00267B79">
        <w:rPr>
          <w:b/>
          <w:bCs/>
        </w:rPr>
        <w:t>to the LMA facility documentation</w:t>
      </w:r>
      <w:bookmarkEnd w:id="1"/>
    </w:p>
    <w:p w:rsidR="00267B79" w:rsidP="00267B79" w:rsidRDefault="006A2E1F" w14:paraId="5810184F" w14:textId="055D08C9">
      <w:r>
        <w:t xml:space="preserve">This paragraph specifies the structural changes that are required to the </w:t>
      </w:r>
      <w:r w:rsidRPr="00D9688D">
        <w:t>LMA Leveraged Document</w:t>
      </w:r>
      <w:r>
        <w:t xml:space="preserve"> in order to allow for a Borrowing Base Facility to be made available under the FAAN Borrowing Base Ancillary Facility Document. </w:t>
      </w:r>
      <w:r w:rsidR="00F6099B">
        <w:t>This does not purport to be an exhaustive list</w:t>
      </w:r>
      <w:r>
        <w:t xml:space="preserve">, and the preparation of the </w:t>
      </w:r>
      <w:r w:rsidRPr="00D9688D" w:rsidR="004750D5">
        <w:t>LMA Leveraged Document</w:t>
      </w:r>
      <w:r w:rsidR="004750D5">
        <w:t xml:space="preserve"> </w:t>
      </w:r>
      <w:r>
        <w:t>continues to</w:t>
      </w:r>
      <w:r w:rsidRPr="006A2E1F">
        <w:t xml:space="preserve"> require</w:t>
      </w:r>
      <w:r>
        <w:t xml:space="preserve"> further</w:t>
      </w:r>
      <w:r w:rsidRPr="006A2E1F">
        <w:t xml:space="preserve"> consideration and resolution by </w:t>
      </w:r>
      <w:r w:rsidR="00E87AB5">
        <w:t>users</w:t>
      </w:r>
      <w:r w:rsidRPr="006A2E1F">
        <w:t xml:space="preserve"> in the context of the relevant transactio</w:t>
      </w:r>
      <w:r>
        <w:t>n.</w:t>
      </w:r>
      <w:r w:rsidR="00D626F8">
        <w:rPr>
          <w:rStyle w:val="FootnoteReference"/>
        </w:rPr>
        <w:footnoteReference w:id="6"/>
      </w:r>
      <w:r w:rsidR="00D626F8">
        <w:t xml:space="preserve">  </w:t>
      </w:r>
    </w:p>
    <w:p w:rsidR="00C618C6" w:rsidP="00C618C6" w:rsidRDefault="00F7641E" w14:paraId="5D33CF21" w14:textId="0591AB1E">
      <w:r>
        <w:t>As the assumption is that no</w:t>
      </w:r>
      <w:r w:rsidR="00C618C6">
        <w:t xml:space="preserve"> intercreditor agreement is in place, the LMA Leveraged Document will need to amended to arrange for all Security Agent-, application of proceeds-, hedging- and other related provisions to be included. These changes are not specific to the FAAN Borrowing Base Ancillary Facility Document and will therefore not be further specified in this guidance note.</w:t>
      </w:r>
    </w:p>
    <w:p w:rsidRPr="00AD21E2" w:rsidR="00AD21E2" w:rsidP="00267B79" w:rsidRDefault="00AD21E2" w14:paraId="2A263110" w14:textId="5F75E49D">
      <w:pPr>
        <w:rPr>
          <w:i/>
          <w:iCs/>
        </w:rPr>
      </w:pPr>
      <w:r>
        <w:rPr>
          <w:i/>
          <w:iCs/>
        </w:rPr>
        <w:t>Borrowing Base Facility</w:t>
      </w:r>
    </w:p>
    <w:p w:rsidR="00641D00" w:rsidP="00AD21E2" w:rsidRDefault="00641D00" w14:paraId="0E434189" w14:textId="59F7B6E9">
      <w:r>
        <w:t xml:space="preserve">The </w:t>
      </w:r>
      <w:r w:rsidRPr="00D9688D">
        <w:t>LMA Leveraged Document</w:t>
      </w:r>
      <w:r>
        <w:t xml:space="preserve"> must be amended by including a new facility as "Borrowing Base Facility"</w:t>
      </w:r>
      <w:r w:rsidR="00AD21E2">
        <w:t xml:space="preserve"> (to be included globally)</w:t>
      </w:r>
      <w:r>
        <w:t>.</w:t>
      </w:r>
      <w:r w:rsidR="00D626F8">
        <w:rPr>
          <w:rStyle w:val="FootnoteReference"/>
        </w:rPr>
        <w:footnoteReference w:id="7"/>
      </w:r>
      <w:r>
        <w:t xml:space="preserve"> Th</w:t>
      </w:r>
      <w:r w:rsidR="00B411E5">
        <w:t xml:space="preserve">e </w:t>
      </w:r>
      <w:r>
        <w:t xml:space="preserve">Borrowing Base </w:t>
      </w:r>
      <w:r w:rsidR="00AD21E2">
        <w:t xml:space="preserve">Facility Commitments may only be made available as Ancillary Facility under the FAAN Borrowing Base Ancillary Facility </w:t>
      </w:r>
      <w:r w:rsidR="00AD21E2">
        <w:lastRenderedPageBreak/>
        <w:t>Document (to be reflected in Clause [2] (</w:t>
      </w:r>
      <w:r w:rsidR="00AD21E2">
        <w:rPr>
          <w:i/>
          <w:iCs/>
        </w:rPr>
        <w:t>The Facilities</w:t>
      </w:r>
      <w:r w:rsidR="00AD21E2">
        <w:t>) and Clause [9] (</w:t>
      </w:r>
      <w:r w:rsidR="00AD21E2">
        <w:rPr>
          <w:i/>
          <w:iCs/>
        </w:rPr>
        <w:t xml:space="preserve">Ancillary </w:t>
      </w:r>
      <w:r w:rsidRPr="00AD21E2" w:rsidR="00AD21E2">
        <w:rPr>
          <w:i/>
          <w:iCs/>
        </w:rPr>
        <w:t>Facilities</w:t>
      </w:r>
      <w:r w:rsidR="00AD21E2">
        <w:t xml:space="preserve">) </w:t>
      </w:r>
      <w:r w:rsidRPr="00AD21E2" w:rsidR="00AD21E2">
        <w:t>of</w:t>
      </w:r>
      <w:r w:rsidR="00AD21E2">
        <w:t xml:space="preserve"> the </w:t>
      </w:r>
      <w:r w:rsidRPr="00D9688D" w:rsidR="00AD21E2">
        <w:t>LMA Leveraged Document</w:t>
      </w:r>
      <w:r w:rsidR="00AD21E2">
        <w:t>).</w:t>
      </w:r>
    </w:p>
    <w:p w:rsidR="00AD21E2" w:rsidP="00AD21E2" w:rsidRDefault="00AD21E2" w14:paraId="40090AEB" w14:textId="77777777">
      <w:pPr>
        <w:rPr>
          <w:i/>
          <w:iCs/>
        </w:rPr>
      </w:pPr>
      <w:r>
        <w:rPr>
          <w:i/>
          <w:iCs/>
        </w:rPr>
        <w:t>Borrowing Base Agent</w:t>
      </w:r>
    </w:p>
    <w:p w:rsidR="00AD21E2" w:rsidP="00AD21E2" w:rsidRDefault="00AD21E2" w14:paraId="4E0BC06F" w14:textId="765EBD49">
      <w:r>
        <w:t xml:space="preserve">The </w:t>
      </w:r>
      <w:r w:rsidRPr="00D9688D">
        <w:t>LMA Leveraged Document</w:t>
      </w:r>
      <w:r>
        <w:t xml:space="preserve"> must be amended by including an additional agency role as "Borrowing Base Agent" (to be included globally). </w:t>
      </w:r>
    </w:p>
    <w:p w:rsidR="00AD21E2" w:rsidP="00AD21E2" w:rsidRDefault="00AD21E2" w14:paraId="32CEB2E6" w14:textId="2F018B5C">
      <w:r>
        <w:t xml:space="preserve">The </w:t>
      </w:r>
      <w:r w:rsidRPr="00973E51">
        <w:rPr>
          <w:lang w:val="en-US"/>
        </w:rPr>
        <w:t xml:space="preserve">administrative provisions </w:t>
      </w:r>
      <w:r>
        <w:rPr>
          <w:lang w:val="en-US"/>
        </w:rPr>
        <w:t xml:space="preserve">applicable to the Agent will also apply to the Borrowing Base Agent and will need to be included in the </w:t>
      </w:r>
      <w:r w:rsidRPr="00D9688D">
        <w:t>LMA Leveraged Document</w:t>
      </w:r>
      <w:r>
        <w:t xml:space="preserve">. </w:t>
      </w:r>
      <w:r w:rsidR="00C618C6">
        <w:t xml:space="preserve">The detailed </w:t>
      </w:r>
      <w:r>
        <w:t xml:space="preserve">rights </w:t>
      </w:r>
      <w:r w:rsidR="00C618C6">
        <w:t>and obligations of the Borrowing Base Agent in respect of the dealings with the Borrowing Base Facility will be arranged in the FAAN Borrowing Base Ancillary Facility Document.</w:t>
      </w:r>
    </w:p>
    <w:p w:rsidRPr="00267B79" w:rsidR="00806F18" w:rsidP="00806F18" w:rsidRDefault="00806F18" w14:paraId="543E4C03" w14:textId="2287E7F4">
      <w:pPr>
        <w:rPr>
          <w:b/>
          <w:bCs/>
        </w:rPr>
      </w:pPr>
      <w:r>
        <w:t xml:space="preserve">The FAAN Borrowing Base Ancillary Facility Document assumes that the Borrowing Base Agent is authorised to, and shall, on instruction of </w:t>
      </w:r>
      <w:r w:rsidR="00DE7918">
        <w:t xml:space="preserve">[all][the] </w:t>
      </w:r>
      <w:r>
        <w:t>Lenders under the Borrowing Base Facility use its acceleration rights. This is reflected in the FAAN Borrowing Base Ancillary Facility Document. This should also be reflected in Clause 29.20 (</w:t>
      </w:r>
      <w:r>
        <w:rPr>
          <w:i/>
          <w:iCs/>
        </w:rPr>
        <w:t>Acceleration</w:t>
      </w:r>
      <w:r>
        <w:t xml:space="preserve">), the agency provisions and the security agency provisions of the </w:t>
      </w:r>
      <w:r w:rsidRPr="00D9688D">
        <w:t>LMA Leveraged Document</w:t>
      </w:r>
      <w:r>
        <w:t>.</w:t>
      </w:r>
    </w:p>
    <w:p w:rsidRPr="00AD21E2" w:rsidR="00AD21E2" w:rsidP="00AD21E2" w:rsidRDefault="00AD21E2" w14:paraId="7A719A0A" w14:textId="694C27CE">
      <w:pPr>
        <w:rPr>
          <w:i/>
          <w:iCs/>
        </w:rPr>
      </w:pPr>
      <w:r>
        <w:rPr>
          <w:i/>
          <w:iCs/>
        </w:rPr>
        <w:t>Borrowing Base Security Agent and Borrowing Base Transaction Security</w:t>
      </w:r>
    </w:p>
    <w:p w:rsidR="00D9688D" w:rsidP="00AD21E2" w:rsidRDefault="00AD21E2" w14:paraId="6A8121BB" w14:textId="1BB530E1">
      <w:r>
        <w:t>T</w:t>
      </w:r>
      <w:r w:rsidR="00267B79">
        <w:t xml:space="preserve">he </w:t>
      </w:r>
      <w:r w:rsidRPr="00D9688D">
        <w:t>LMA Leveraged Document</w:t>
      </w:r>
      <w:r w:rsidR="00C618C6">
        <w:t xml:space="preserve"> </w:t>
      </w:r>
      <w:r>
        <w:t>must be amended by including an additional security agent role as "Borrowing Base Security Agent" (to be included globally).</w:t>
      </w:r>
    </w:p>
    <w:p w:rsidRPr="008E2E77" w:rsidR="00AD21E2" w:rsidP="00AD21E2" w:rsidRDefault="00C618C6" w14:paraId="0929E061" w14:textId="6B8D5AE9">
      <w:r>
        <w:t xml:space="preserve">The Transaction Security Documents will need to be split in "Borrowing Base Transaction Security Documents" and "Term/RCF Transaction Security Documents". </w:t>
      </w:r>
      <w:r w:rsidR="00A94217">
        <w:t>The "Borrowing Base Transaction Security Documents" will be created in favour of and held by the Borrowing Base Transaction Security Agent and the "Term/RCF Transaction Security Documents" will be created in favour of and held by the Security Agent.</w:t>
      </w:r>
      <w:r w:rsidR="004E58B9">
        <w:rPr>
          <w:rStyle w:val="FootnoteReference"/>
        </w:rPr>
        <w:footnoteReference w:id="8"/>
      </w:r>
      <w:r w:rsidR="00A94217">
        <w:t xml:space="preserve"> </w:t>
      </w:r>
      <w:r>
        <w:t xml:space="preserve">The Secured Obligations of these Transaction Security Documents will be the </w:t>
      </w:r>
      <w:r w:rsidR="00A94217">
        <w:t xml:space="preserve">same (as per LMA), provided that (i) the application of proceeds of the Borrowing Base Transaction Security Documents will be applied first towards the </w:t>
      </w:r>
      <w:r w:rsidRPr="00A2772D" w:rsidR="00A94217">
        <w:t xml:space="preserve">discharge of </w:t>
      </w:r>
      <w:r w:rsidR="00A94217">
        <w:t xml:space="preserve">any amounts outstanding under the Borrowing Base Facility (and any remainder towards </w:t>
      </w:r>
      <w:r w:rsidR="00806F18">
        <w:t xml:space="preserve">the </w:t>
      </w:r>
      <w:r w:rsidRPr="00A2772D" w:rsidR="00806F18">
        <w:t xml:space="preserve">discharge of </w:t>
      </w:r>
      <w:r w:rsidR="00806F18">
        <w:t xml:space="preserve">any amounts outstanding </w:t>
      </w:r>
      <w:r w:rsidR="00A94217">
        <w:t xml:space="preserve">the Term/RCF Facilities) and (ii) the application of proceeds of the Term/RCF Transaction Security Documents will be applied first towards the </w:t>
      </w:r>
      <w:r w:rsidRPr="00A2772D" w:rsidR="00A94217">
        <w:t xml:space="preserve">discharge of </w:t>
      </w:r>
      <w:r w:rsidR="00A94217">
        <w:t xml:space="preserve">any amounts outstanding under the Term/RCF Facilities (and any remainder towards </w:t>
      </w:r>
      <w:r w:rsidR="00806F18">
        <w:t xml:space="preserve">the </w:t>
      </w:r>
      <w:r w:rsidRPr="00A2772D" w:rsidR="00806F18">
        <w:t xml:space="preserve">discharge of </w:t>
      </w:r>
      <w:r w:rsidR="00806F18">
        <w:t xml:space="preserve">any amounts outstanding </w:t>
      </w:r>
      <w:r w:rsidR="00A94217">
        <w:t>the Borrowing Base Facility).</w:t>
      </w:r>
      <w:r w:rsidR="00806F18">
        <w:rPr>
          <w:rStyle w:val="FootnoteReference"/>
        </w:rPr>
        <w:footnoteReference w:id="9"/>
      </w:r>
    </w:p>
    <w:p w:rsidR="00806F18" w:rsidP="00267B79" w:rsidRDefault="00806F18" w14:paraId="675FACB6" w14:textId="1120D692">
      <w:r>
        <w:t xml:space="preserve">The FAAN Borrowing Base Ancillary Facility Document assumes that the Borrowing Base Security Agent is authorised to, and shall, on instruction of </w:t>
      </w:r>
      <w:r w:rsidR="00DD2823">
        <w:t xml:space="preserve">the </w:t>
      </w:r>
      <w:r w:rsidR="00402DCC">
        <w:t xml:space="preserve">Borrowing Base Agent or </w:t>
      </w:r>
      <w:r w:rsidR="00DE7918">
        <w:t xml:space="preserve">[all][the] </w:t>
      </w:r>
      <w:r>
        <w:t xml:space="preserve">Lenders under the Borrowing Base Facility exercise any or all of its rights, remedies, powers or discretions under the </w:t>
      </w:r>
      <w:r w:rsidRPr="00D9688D">
        <w:t>LMA Leveraged Document</w:t>
      </w:r>
      <w:r>
        <w:t xml:space="preserve"> and/or Borrowing Base Transaction Security Documents. This should also be reflected in Clause </w:t>
      </w:r>
      <w:r w:rsidR="006E0DCC">
        <w:t>[</w:t>
      </w:r>
      <w:r>
        <w:t>29.20</w:t>
      </w:r>
      <w:r w:rsidR="006E0DCC">
        <w:t>]</w:t>
      </w:r>
      <w:r>
        <w:t xml:space="preserve"> (</w:t>
      </w:r>
      <w:r>
        <w:rPr>
          <w:i/>
          <w:iCs/>
        </w:rPr>
        <w:t>Acceleration</w:t>
      </w:r>
      <w:r>
        <w:t xml:space="preserve">), the agency provisions and the security agency provisions of the </w:t>
      </w:r>
      <w:r w:rsidRPr="00D9688D">
        <w:t>LMA Leveraged Document</w:t>
      </w:r>
      <w:r>
        <w:t>.</w:t>
      </w:r>
    </w:p>
    <w:p w:rsidR="00C17349" w:rsidP="004E58B9" w:rsidRDefault="004E58B9" w14:paraId="775271C1" w14:textId="54529EB4">
      <w:pPr>
        <w:pStyle w:val="ListParagraph"/>
        <w:numPr>
          <w:ilvl w:val="0"/>
          <w:numId w:val="1"/>
        </w:numPr>
        <w:rPr>
          <w:b/>
          <w:bCs/>
        </w:rPr>
      </w:pPr>
      <w:r w:rsidRPr="004E58B9">
        <w:rPr>
          <w:b/>
          <w:bCs/>
        </w:rPr>
        <w:t>Preparing the FAAN Borrowing Base Ancillary Facility Document</w:t>
      </w:r>
    </w:p>
    <w:p w:rsidR="004E58B9" w:rsidP="004E58B9" w:rsidRDefault="004E58B9" w14:paraId="0C88C827" w14:textId="00BBC340">
      <w:r>
        <w:lastRenderedPageBreak/>
        <w:t xml:space="preserve">This paragraph sets out </w:t>
      </w:r>
      <w:r w:rsidR="00484909">
        <w:t>a number of</w:t>
      </w:r>
      <w:r>
        <w:t xml:space="preserve"> structural options that are included in the </w:t>
      </w:r>
      <w:r w:rsidR="004750D5">
        <w:t>FAAN Borrowing Base Ancillary Facility Document</w:t>
      </w:r>
      <w:r>
        <w:t xml:space="preserve">. This </w:t>
      </w:r>
      <w:r w:rsidR="00F6099B">
        <w:t>does</w:t>
      </w:r>
      <w:r>
        <w:t xml:space="preserve"> not </w:t>
      </w:r>
      <w:r w:rsidR="00F6099B">
        <w:t xml:space="preserve">purport to be </w:t>
      </w:r>
      <w:r>
        <w:t>an exhaustive list,</w:t>
      </w:r>
      <w:r w:rsidR="004750D5">
        <w:t xml:space="preserve"> numerous drafting notes are included in the FAAN Borrowing Base Ancillary Facility Document which need to be taken into account and </w:t>
      </w:r>
      <w:r>
        <w:t xml:space="preserve">the preparation </w:t>
      </w:r>
      <w:r w:rsidR="004750D5">
        <w:t xml:space="preserve">of the documentation </w:t>
      </w:r>
      <w:r>
        <w:t>continues to</w:t>
      </w:r>
      <w:r w:rsidRPr="006A2E1F">
        <w:t xml:space="preserve"> require</w:t>
      </w:r>
      <w:r>
        <w:t xml:space="preserve"> further</w:t>
      </w:r>
      <w:r w:rsidRPr="006A2E1F">
        <w:t xml:space="preserve"> consideration</w:t>
      </w:r>
      <w:r w:rsidR="004750D5">
        <w:t xml:space="preserve"> </w:t>
      </w:r>
      <w:r w:rsidRPr="006A2E1F">
        <w:t xml:space="preserve">and resolution by </w:t>
      </w:r>
      <w:r w:rsidR="00E87AB5">
        <w:t>users</w:t>
      </w:r>
      <w:r w:rsidRPr="006A2E1F" w:rsidR="00E87AB5">
        <w:t xml:space="preserve"> </w:t>
      </w:r>
      <w:r w:rsidRPr="006A2E1F">
        <w:t>in the context of the relevant transactio</w:t>
      </w:r>
      <w:r>
        <w:t>n</w:t>
      </w:r>
      <w:r w:rsidR="004750D5">
        <w:t>.</w:t>
      </w:r>
    </w:p>
    <w:p w:rsidR="00DD2823" w:rsidP="00DD2823" w:rsidRDefault="00DD2823" w14:paraId="05F163D9" w14:textId="77777777">
      <w:pPr>
        <w:rPr>
          <w:i/>
          <w:iCs/>
        </w:rPr>
      </w:pPr>
      <w:r>
        <w:rPr>
          <w:i/>
          <w:iCs/>
        </w:rPr>
        <w:t>Cross references to the LMA Leveraged Document</w:t>
      </w:r>
    </w:p>
    <w:p w:rsidRPr="00DD2823" w:rsidR="00DD2823" w:rsidP="00DD2823" w:rsidRDefault="00DD2823" w14:paraId="18903ED2" w14:textId="60C43F81">
      <w:r>
        <w:t>The FAAN Borrowing Base Ancillary Facility Document assumes that the definition</w:t>
      </w:r>
      <w:r w:rsidR="0049269E">
        <w:t>s</w:t>
      </w:r>
      <w:r>
        <w:t xml:space="preserve"> listed in Schedule 1 </w:t>
      </w:r>
      <w:r w:rsidR="0049269E">
        <w:t>(</w:t>
      </w:r>
      <w:r w:rsidR="0049269E">
        <w:rPr>
          <w:i/>
          <w:iCs/>
        </w:rPr>
        <w:t>Definitions included in the LMA Leveraged Document</w:t>
      </w:r>
      <w:r w:rsidR="0049269E">
        <w:t xml:space="preserve">) </w:t>
      </w:r>
      <w:r>
        <w:t xml:space="preserve">to this guidance note are included in the </w:t>
      </w:r>
      <w:r w:rsidRPr="00D9688D">
        <w:t>LMA Leveraged Document</w:t>
      </w:r>
      <w:r>
        <w:t xml:space="preserve">. </w:t>
      </w:r>
      <w:r w:rsidR="0049269E">
        <w:t>If this is not the case, the relevant definitions should be inserted in either the LMA Leveraged Document or the</w:t>
      </w:r>
      <w:r w:rsidRPr="0049269E" w:rsidR="0049269E">
        <w:t xml:space="preserve"> </w:t>
      </w:r>
      <w:r w:rsidR="0049269E">
        <w:t xml:space="preserve">FAAN Borrowing Base Ancillary Facility Document. If preferred by parties, the definitions already included in the </w:t>
      </w:r>
      <w:r w:rsidRPr="00D9688D" w:rsidR="0049269E">
        <w:t>LMA Leveraged Document</w:t>
      </w:r>
      <w:r w:rsidR="0049269E">
        <w:t xml:space="preserve"> can also be included in FAAN Borrowing Base Ancillary Facility Document.</w:t>
      </w:r>
    </w:p>
    <w:p w:rsidR="00F73A4F" w:rsidP="004E58B9" w:rsidRDefault="00F73A4F" w14:paraId="7436B344" w14:textId="4D07385D">
      <w:pPr>
        <w:rPr>
          <w:i/>
          <w:iCs/>
        </w:rPr>
      </w:pPr>
      <w:r>
        <w:rPr>
          <w:i/>
          <w:iCs/>
        </w:rPr>
        <w:t>Fronting role</w:t>
      </w:r>
    </w:p>
    <w:p w:rsidR="00F73A4F" w:rsidP="004E58B9" w:rsidRDefault="00F73A4F" w14:paraId="33F8ACAA" w14:textId="13985D9B">
      <w:r>
        <w:t>T</w:t>
      </w:r>
      <w:r w:rsidRPr="00773954">
        <w:t xml:space="preserve">he </w:t>
      </w:r>
      <w:r w:rsidR="00B01607">
        <w:t xml:space="preserve">FAAN Borrowing Base Ancillary Facility Document assumes that the </w:t>
      </w:r>
      <w:r w:rsidRPr="00773954">
        <w:t xml:space="preserve">Borrowing Base Lenders shall provide </w:t>
      </w:r>
      <w:r>
        <w:t xml:space="preserve">the </w:t>
      </w:r>
      <w:r w:rsidRPr="00F73A4F">
        <w:t xml:space="preserve">Borrowing Base Ancillary Facility </w:t>
      </w:r>
      <w:r w:rsidRPr="00773954">
        <w:t>through the Borrowing Base Agent</w:t>
      </w:r>
      <w:r w:rsidR="00B01607">
        <w:t xml:space="preserve"> as fronting agent</w:t>
      </w:r>
      <w:r>
        <w:t>. This means that t</w:t>
      </w:r>
      <w:r w:rsidRPr="00773954">
        <w:t xml:space="preserve">he Borrowing Base Agent will pre-fund the Advances on behalf of the Borrowing Base Lenders on the terms set out in </w:t>
      </w:r>
      <w:r>
        <w:t>the FAAN Borrowing Base Ancillary Facility Document.</w:t>
      </w:r>
    </w:p>
    <w:p w:rsidR="00B01607" w:rsidP="004E58B9" w:rsidRDefault="00E87AB5" w14:paraId="3C919609" w14:textId="041F5E7C">
      <w:r>
        <w:t xml:space="preserve">Users </w:t>
      </w:r>
      <w:r w:rsidR="00F73A4F">
        <w:t xml:space="preserve">should consult with the relevant entity appointed as </w:t>
      </w:r>
      <w:r w:rsidRPr="00773954" w:rsidR="00F73A4F">
        <w:t>Borrowing Base Agent</w:t>
      </w:r>
      <w:r w:rsidR="00F73A4F">
        <w:t xml:space="preserve"> whether any specific changes are required in order for it to fulfil its fronting role. </w:t>
      </w:r>
      <w:r w:rsidR="00421615">
        <w:t xml:space="preserve">Various options in the FAAN Borrowing Base Ancillary Facility Document depend on the </w:t>
      </w:r>
      <w:r w:rsidR="00F20A43">
        <w:t xml:space="preserve">relevant entity appointed as </w:t>
      </w:r>
      <w:r w:rsidRPr="00773954" w:rsidR="00F20A43">
        <w:t>Borrowing Base Agent</w:t>
      </w:r>
      <w:r w:rsidR="00F20A43">
        <w:t xml:space="preserve">. </w:t>
      </w:r>
    </w:p>
    <w:p w:rsidR="007D141F" w:rsidP="004E58B9" w:rsidRDefault="00F20A43" w14:paraId="44C51A1A" w14:textId="77777777">
      <w:r>
        <w:t xml:space="preserve">In particular, the </w:t>
      </w:r>
      <w:r w:rsidRPr="00773954">
        <w:t>Borrowing Base Agent</w:t>
      </w:r>
      <w:r>
        <w:t xml:space="preserve"> should be consulted in respect (</w:t>
      </w:r>
      <w:r w:rsidR="008E5137">
        <w:t xml:space="preserve">of the </w:t>
      </w:r>
      <w:r>
        <w:t xml:space="preserve">monitoring) </w:t>
      </w:r>
      <w:r w:rsidR="008E5137">
        <w:t xml:space="preserve">of </w:t>
      </w:r>
      <w:r w:rsidR="00512F77">
        <w:t>its obligations, including</w:t>
      </w:r>
      <w:r w:rsidR="007D141F">
        <w:t>:</w:t>
      </w:r>
    </w:p>
    <w:p w:rsidR="007D141F" w:rsidP="007D141F" w:rsidRDefault="00512F77" w14:paraId="333BE139" w14:textId="77777777">
      <w:pPr>
        <w:pStyle w:val="ListParagraph"/>
        <w:numPr>
          <w:ilvl w:val="0"/>
          <w:numId w:val="6"/>
        </w:numPr>
        <w:contextualSpacing w:val="0"/>
      </w:pPr>
      <w:r>
        <w:t xml:space="preserve">the monitoring of </w:t>
      </w:r>
      <w:r w:rsidR="00F20A43">
        <w:t xml:space="preserve">certain </w:t>
      </w:r>
      <w:r w:rsidRPr="00F20A43" w:rsidR="00F20A43">
        <w:t>Eligibility Criteria</w:t>
      </w:r>
      <w:r w:rsidR="007D141F">
        <w:t xml:space="preserve"> (and, if applicable, manually calculating the</w:t>
      </w:r>
      <w:r w:rsidRPr="007D141F" w:rsidR="007D141F">
        <w:t xml:space="preserve"> </w:t>
      </w:r>
      <w:r w:rsidRPr="00773954" w:rsidR="007D141F">
        <w:t>Borrowing Base Inventory Amount</w:t>
      </w:r>
      <w:r w:rsidR="007D141F">
        <w:t xml:space="preserve">); </w:t>
      </w:r>
    </w:p>
    <w:p w:rsidR="007D141F" w:rsidP="007D141F" w:rsidRDefault="008E5137" w14:paraId="50ED022D" w14:textId="35BCA8BA">
      <w:pPr>
        <w:pStyle w:val="ListParagraph"/>
        <w:numPr>
          <w:ilvl w:val="0"/>
          <w:numId w:val="6"/>
        </w:numPr>
        <w:contextualSpacing w:val="0"/>
      </w:pPr>
      <w:r>
        <w:t>interest calculations and sharing amongst the Borrowing Base Lenders (</w:t>
      </w:r>
      <w:r w:rsidR="007D141F">
        <w:t>such as</w:t>
      </w:r>
      <w:r>
        <w:t xml:space="preserve"> the entitlement of</w:t>
      </w:r>
      <w:r w:rsidR="00DD2823">
        <w:t xml:space="preserve"> the</w:t>
      </w:r>
      <w:r>
        <w:t xml:space="preserve"> </w:t>
      </w:r>
      <w:r w:rsidRPr="00773954">
        <w:t xml:space="preserve">Borrowing Base Lenders </w:t>
      </w:r>
      <w:r>
        <w:t xml:space="preserve">to receive their participation in the Base Rate whether or not funded or only if </w:t>
      </w:r>
      <w:r w:rsidRPr="00773954">
        <w:t>actually funded</w:t>
      </w:r>
      <w:r>
        <w:t>)</w:t>
      </w:r>
      <w:r w:rsidR="007D141F">
        <w:t>;</w:t>
      </w:r>
      <w:r>
        <w:t xml:space="preserve"> and </w:t>
      </w:r>
    </w:p>
    <w:p w:rsidR="00512F77" w:rsidP="007D141F" w:rsidRDefault="008E5137" w14:paraId="2FF5EB28" w14:textId="2377CD29">
      <w:pPr>
        <w:pStyle w:val="ListParagraph"/>
        <w:numPr>
          <w:ilvl w:val="0"/>
          <w:numId w:val="6"/>
        </w:numPr>
        <w:contextualSpacing w:val="0"/>
      </w:pPr>
      <w:r>
        <w:t xml:space="preserve">the </w:t>
      </w:r>
      <w:r w:rsidR="00F20A43">
        <w:t xml:space="preserve">specific </w:t>
      </w:r>
      <w:r w:rsidRPr="00F20A43" w:rsidR="00F20A43">
        <w:t>information undertakings</w:t>
      </w:r>
      <w:r w:rsidR="007D141F">
        <w:t xml:space="preserve"> (e.g. frequency, content and relevance of Borrowing Base Certificate</w:t>
      </w:r>
      <w:r w:rsidR="00DD2823">
        <w:t>s</w:t>
      </w:r>
      <w:r w:rsidR="007D141F">
        <w:t>)</w:t>
      </w:r>
      <w:r w:rsidR="00F20A43">
        <w:t>.</w:t>
      </w:r>
      <w:r w:rsidR="00512F77">
        <w:t xml:space="preserve"> </w:t>
      </w:r>
    </w:p>
    <w:p w:rsidRPr="00F73A4F" w:rsidR="00F73A4F" w:rsidP="004E58B9" w:rsidRDefault="00512F77" w14:paraId="37CF44AE" w14:textId="6677438B">
      <w:r>
        <w:t>The terms applicable to the Online Portal and the format for the Borrowing Base Certificate will need to be provided by the Borrowing Base Agent and attached to the FAAN Borrowing Base Ancillary Facility Document.</w:t>
      </w:r>
    </w:p>
    <w:p w:rsidR="00B01607" w:rsidP="00B01607" w:rsidRDefault="00B01607" w14:paraId="480203FE" w14:textId="416792FB">
      <w:pPr>
        <w:rPr>
          <w:i/>
          <w:iCs/>
        </w:rPr>
      </w:pPr>
      <w:r>
        <w:rPr>
          <w:i/>
          <w:iCs/>
        </w:rPr>
        <w:t xml:space="preserve">Cash dominion </w:t>
      </w:r>
    </w:p>
    <w:p w:rsidR="00B01607" w:rsidP="00B01607" w:rsidRDefault="00B01607" w14:paraId="10600C21" w14:textId="3105C75F">
      <w:r>
        <w:lastRenderedPageBreak/>
        <w:t xml:space="preserve">The starting point of the FAAN Borrowing Base Ancillary Facility Document is a structure with Collection Accounts which are held in the Borrowing Base Agent's own name </w:t>
      </w:r>
      <w:r w:rsidRPr="00773954">
        <w:t>but for external purposes referring to the relevant Borrower</w:t>
      </w:r>
      <w:r>
        <w:t xml:space="preserve"> (</w:t>
      </w:r>
      <w:r>
        <w:rPr>
          <w:i/>
          <w:iCs/>
        </w:rPr>
        <w:t>inzakerekeningen</w:t>
      </w:r>
      <w:r>
        <w:t xml:space="preserve">). </w:t>
      </w:r>
      <w:r w:rsidR="00B733AA">
        <w:rPr>
          <w:rStyle w:val="FootnoteReference"/>
        </w:rPr>
        <w:footnoteReference w:id="10"/>
      </w:r>
    </w:p>
    <w:p w:rsidR="00B01607" w:rsidP="00B01607" w:rsidRDefault="00B01607" w14:paraId="4FBE1432" w14:textId="37B5041D">
      <w:pPr>
        <w:rPr>
          <w:lang w:val="en-US"/>
        </w:rPr>
      </w:pPr>
      <w:r>
        <w:t xml:space="preserve">The </w:t>
      </w:r>
      <w:r w:rsidR="00607786">
        <w:t xml:space="preserve">FAAN Borrowing Base Ancillary Facility Document also </w:t>
      </w:r>
      <w:r>
        <w:t>includes optionality to set up a structure with Collection Accounts which are held in the relevant Borrower's own name and subject to Borrowing Base Transaction Security. If this structure is selected, t</w:t>
      </w:r>
      <w:r>
        <w:rPr>
          <w:lang w:val="en-US"/>
        </w:rPr>
        <w:t>he concepts of "Cash Sweep" and "</w:t>
      </w:r>
      <w:r w:rsidRPr="00F73A4F">
        <w:rPr>
          <w:lang w:val="en-US"/>
        </w:rPr>
        <w:t>Cash Dominion Event</w:t>
      </w:r>
      <w:r>
        <w:rPr>
          <w:lang w:val="en-US"/>
        </w:rPr>
        <w:t xml:space="preserve">" </w:t>
      </w:r>
      <w:r w:rsidR="00AA313C">
        <w:rPr>
          <w:lang w:val="en-US"/>
        </w:rPr>
        <w:t>may</w:t>
      </w:r>
      <w:r>
        <w:rPr>
          <w:lang w:val="en-US"/>
        </w:rPr>
        <w:t xml:space="preserve"> be applicable. </w:t>
      </w:r>
    </w:p>
    <w:p w:rsidR="00B01607" w:rsidP="00B01607" w:rsidRDefault="00B01607" w14:paraId="57A38D9D" w14:textId="77777777">
      <w:pPr>
        <w:rPr>
          <w:i/>
          <w:iCs/>
        </w:rPr>
      </w:pPr>
      <w:r>
        <w:rPr>
          <w:i/>
          <w:iCs/>
        </w:rPr>
        <w:t>Eligible Receivables [and Eligible Inventory]</w:t>
      </w:r>
    </w:p>
    <w:p w:rsidR="00B01607" w:rsidP="00B01607" w:rsidRDefault="00B01607" w14:paraId="387CB41A" w14:textId="291FBC2C">
      <w:r>
        <w:t xml:space="preserve">The FAAN Borrowing Base Ancillary Facility Document assumes that the Borrowing Base Ancillary Lenders will in any event provide credit in </w:t>
      </w:r>
      <w:r w:rsidRPr="00773954">
        <w:t>the form of advance financing on Eligible Receivables</w:t>
      </w:r>
      <w:r>
        <w:t xml:space="preserve">. In addition, the document includes optionality to provide credit </w:t>
      </w:r>
      <w:r w:rsidR="00DD2823">
        <w:t xml:space="preserve">in </w:t>
      </w:r>
      <w:r w:rsidRPr="00773954">
        <w:t xml:space="preserve">the form of advance financing on Eligible </w:t>
      </w:r>
      <w:r>
        <w:t>Inventory.</w:t>
      </w:r>
      <w:r w:rsidR="00E87AB5">
        <w:t xml:space="preserve"> </w:t>
      </w:r>
    </w:p>
    <w:p w:rsidRPr="00E87AB5" w:rsidR="00E87AB5" w:rsidP="00B01607" w:rsidRDefault="00AA313C" w14:paraId="21466B04" w14:textId="56CE5570">
      <w:pPr>
        <w:rPr>
          <w:lang w:val="en-US"/>
        </w:rPr>
      </w:pPr>
      <w:r>
        <w:t xml:space="preserve">There are various optionality's included in </w:t>
      </w:r>
      <w:r>
        <w:rPr>
          <w:lang w:val="en-US"/>
        </w:rPr>
        <w:t>the Eligibility Criteria which will need to be considered to complete the document. Additionally, u</w:t>
      </w:r>
      <w:r w:rsidR="00E87AB5">
        <w:rPr>
          <w:lang w:val="en-US"/>
        </w:rPr>
        <w:t xml:space="preserve">sers will need to consider any </w:t>
      </w:r>
      <w:r>
        <w:rPr>
          <w:lang w:val="en-US"/>
        </w:rPr>
        <w:t xml:space="preserve">specific </w:t>
      </w:r>
      <w:r w:rsidR="00E87AB5">
        <w:rPr>
          <w:lang w:val="en-US"/>
        </w:rPr>
        <w:t>c</w:t>
      </w:r>
      <w:r w:rsidRPr="002B41B1" w:rsidR="00E87AB5">
        <w:rPr>
          <w:lang w:val="en-US"/>
        </w:rPr>
        <w:t xml:space="preserve">hanges </w:t>
      </w:r>
      <w:r>
        <w:rPr>
          <w:lang w:val="en-US"/>
        </w:rPr>
        <w:t xml:space="preserve">that </w:t>
      </w:r>
      <w:r w:rsidR="00E87AB5">
        <w:rPr>
          <w:lang w:val="en-US"/>
        </w:rPr>
        <w:t>may be needed depending on the type of receivables or inventory on a case-by-case basis, in particular relating to the Eligibility Criteria (including limits), Receivables Reserve [and Inventory Reserve], Insurances and information undertakings that may</w:t>
      </w:r>
      <w:r w:rsidRPr="002B41B1" w:rsidR="00E87AB5">
        <w:rPr>
          <w:lang w:val="en-US"/>
        </w:rPr>
        <w:t xml:space="preserve"> be needed</w:t>
      </w:r>
      <w:r w:rsidR="00E87AB5">
        <w:rPr>
          <w:lang w:val="en-US"/>
        </w:rPr>
        <w:t>.</w:t>
      </w:r>
    </w:p>
    <w:p w:rsidR="004750D5" w:rsidP="00A20975" w:rsidRDefault="004750D5" w14:paraId="4B6497D1" w14:textId="0622755D">
      <w:pPr>
        <w:spacing w:after="160" w:line="259" w:lineRule="auto"/>
        <w:jc w:val="left"/>
        <w:rPr>
          <w:i/>
          <w:iCs/>
        </w:rPr>
      </w:pPr>
      <w:r>
        <w:rPr>
          <w:i/>
          <w:iCs/>
        </w:rPr>
        <w:t>Risk free rates</w:t>
      </w:r>
    </w:p>
    <w:p w:rsidR="00AA313C" w:rsidP="004E58B9" w:rsidRDefault="00AA313C" w14:paraId="42484880" w14:textId="781E28E8">
      <w:r>
        <w:t>The FAAN Borrowing Base Ancillary Facility Document</w:t>
      </w:r>
      <w:r w:rsidRPr="00F6099B">
        <w:t xml:space="preserve"> </w:t>
      </w:r>
      <w:r w:rsidRPr="00F6099B" w:rsidR="00F6099B">
        <w:t>does not purport to offer</w:t>
      </w:r>
      <w:r w:rsidRPr="00607786" w:rsidR="00607786">
        <w:t xml:space="preserve"> any standardised position in relation to </w:t>
      </w:r>
      <w:r w:rsidR="00607786">
        <w:t>any IBOR-reform</w:t>
      </w:r>
      <w:r w:rsidR="007D141F">
        <w:t xml:space="preserve"> in respect of the Base Currency and/or Optional Currencies</w:t>
      </w:r>
      <w:r w:rsidR="00607786">
        <w:t xml:space="preserve">, </w:t>
      </w:r>
      <w:r w:rsidRPr="00607786" w:rsidR="00607786">
        <w:t>a number of issues associated with the use of compounded risk-free reference rates or the operation of those conventions</w:t>
      </w:r>
      <w:r w:rsidR="00607786">
        <w:t xml:space="preserve">. </w:t>
      </w:r>
      <w:r w:rsidR="00DD2823">
        <w:t>These conventions will need to be addressed on a case-by-case basis.</w:t>
      </w:r>
      <w:r w:rsidR="00DD2823">
        <w:rPr>
          <w:rStyle w:val="FootnoteReference"/>
        </w:rPr>
        <w:footnoteReference w:id="11"/>
      </w:r>
    </w:p>
    <w:p w:rsidR="00AA313C" w:rsidP="004E58B9" w:rsidRDefault="00E87AB5" w14:paraId="569EADBC" w14:textId="2370C9D1">
      <w:r w:rsidRPr="00E87AB5">
        <w:t xml:space="preserve">Users should refer to the </w:t>
      </w:r>
      <w:hyperlink w:history="1" w:anchor="document_index" r:id="rId8">
        <w:r>
          <w:rPr>
            <w:rStyle w:val="Hyperlink"/>
          </w:rPr>
          <w:t>RFR Destination Table</w:t>
        </w:r>
      </w:hyperlink>
      <w:r>
        <w:t xml:space="preserve"> and consult with the relevant Lenders involved.</w:t>
      </w:r>
    </w:p>
    <w:p w:rsidR="0049269E" w:rsidRDefault="0049269E" w14:paraId="0DB71525" w14:textId="43B2DC9F">
      <w:pPr>
        <w:spacing w:after="160" w:line="259" w:lineRule="auto"/>
        <w:jc w:val="left"/>
      </w:pPr>
      <w:r>
        <w:br w:type="page"/>
      </w:r>
    </w:p>
    <w:p w:rsidRPr="00C33E7D" w:rsidR="0049269E" w:rsidP="0049269E" w:rsidRDefault="0049269E" w14:paraId="537D67C3" w14:textId="13CC972D">
      <w:pPr>
        <w:pStyle w:val="Schedule2L1"/>
      </w:pPr>
      <w:r>
        <w:lastRenderedPageBreak/>
        <w:br/>
      </w:r>
      <w:bookmarkStart w:name="_Ref146035281" w:id="2"/>
      <w:r w:rsidRPr="00C33E7D">
        <w:t xml:space="preserve">Definitions Included in the </w:t>
      </w:r>
      <w:r>
        <w:t>LMA Leveraged Document</w:t>
      </w:r>
      <w:bookmarkEnd w:id="2"/>
    </w:p>
    <w:p w:rsidR="0049269E" w:rsidP="0049269E" w:rsidRDefault="001F0903" w14:paraId="447D5753" w14:textId="3275CBD0">
      <w:pPr>
        <w:pStyle w:val="BodyText"/>
      </w:pPr>
      <w:r>
        <w:t>"</w:t>
      </w:r>
      <w:r w:rsidRPr="001F0903" w:rsidR="0049269E">
        <w:rPr>
          <w:rFonts w:eastAsia="Arial"/>
          <w:b/>
          <w:bCs/>
        </w:rPr>
        <w:t>Additional Guarantor</w:t>
      </w:r>
      <w:r>
        <w:t>"</w:t>
      </w:r>
      <w:r w:rsidRPr="005752F8">
        <w:t xml:space="preserve"> has the meaning ascribed thereto in the Facilities Agreement.</w:t>
      </w:r>
    </w:p>
    <w:p w:rsidR="0049269E" w:rsidP="0049269E" w:rsidRDefault="001F0903" w14:paraId="0E71C0F8" w14:textId="6C18B94F">
      <w:pPr>
        <w:pStyle w:val="BodyText"/>
      </w:pPr>
      <w:r>
        <w:t>"</w:t>
      </w:r>
      <w:r w:rsidRPr="001F0903" w:rsidR="0049269E">
        <w:rPr>
          <w:rFonts w:eastAsia="Arial"/>
          <w:b/>
          <w:bCs/>
        </w:rPr>
        <w:t>Additional Obligor</w:t>
      </w:r>
      <w:r>
        <w:t>"</w:t>
      </w:r>
      <w:r w:rsidRPr="005752F8">
        <w:t xml:space="preserve"> has the meaning ascribed thereto in the Facilities Agreement.</w:t>
      </w:r>
    </w:p>
    <w:p w:rsidR="0049269E" w:rsidP="0049269E" w:rsidRDefault="0049269E" w14:paraId="0D028985" w14:textId="50B4D5DD">
      <w:pPr>
        <w:pStyle w:val="BodyText"/>
      </w:pPr>
      <w:r>
        <w:t>"</w:t>
      </w:r>
      <w:r w:rsidRPr="005752F8">
        <w:rPr>
          <w:b/>
          <w:bCs/>
        </w:rPr>
        <w:t>Affiliate</w:t>
      </w:r>
      <w:r>
        <w:t>"</w:t>
      </w:r>
      <w:r w:rsidRPr="005752F8">
        <w:t xml:space="preserve"> has the meaning ascribed thereto in the Facilities Agreement.</w:t>
      </w:r>
    </w:p>
    <w:p w:rsidR="0049269E" w:rsidP="0049269E" w:rsidRDefault="001F0903" w14:paraId="4CDA6C89" w14:textId="0B8A083C">
      <w:pPr>
        <w:pStyle w:val="BodyText"/>
        <w:rPr>
          <w:rFonts w:ascii="Arial" w:hAnsi="Arial" w:eastAsia="Arial" w:cs="Arial"/>
        </w:rPr>
      </w:pPr>
      <w:r>
        <w:t>"</w:t>
      </w:r>
      <w:r w:rsidRPr="001F0903" w:rsidR="0049269E">
        <w:rPr>
          <w:rFonts w:eastAsia="Arial"/>
          <w:b/>
          <w:bCs/>
        </w:rPr>
        <w:t>Ancillary Facility</w:t>
      </w:r>
      <w:r>
        <w:t>"</w:t>
      </w:r>
      <w:r w:rsidRPr="005752F8">
        <w:t xml:space="preserve"> has the meaning ascribed thereto in the Facilities Agreement.</w:t>
      </w:r>
    </w:p>
    <w:p w:rsidR="0049269E" w:rsidP="0049269E" w:rsidRDefault="0049269E" w14:paraId="35627973" w14:textId="77777777">
      <w:pPr>
        <w:pStyle w:val="BodyText"/>
      </w:pPr>
      <w:r>
        <w:t>"</w:t>
      </w:r>
      <w:r w:rsidRPr="00773954">
        <w:rPr>
          <w:b/>
        </w:rPr>
        <w:t>Bank Agent</w:t>
      </w:r>
      <w:r>
        <w:t>"</w:t>
      </w:r>
      <w:r w:rsidRPr="00773954">
        <w:t xml:space="preserve"> means the Agent under and as defined in the Facilities Agreement.</w:t>
      </w:r>
    </w:p>
    <w:p w:rsidR="0049269E" w:rsidP="0049269E" w:rsidRDefault="001F0903" w14:paraId="57924E2C" w14:textId="18E5EB59">
      <w:pPr>
        <w:pStyle w:val="BodyText"/>
        <w:rPr>
          <w:rFonts w:ascii="Arial" w:hAnsi="Arial" w:eastAsia="Arial" w:cs="Arial"/>
        </w:rPr>
      </w:pPr>
      <w:r>
        <w:t>"</w:t>
      </w:r>
      <w:r w:rsidRPr="001F0903" w:rsidR="0049269E">
        <w:rPr>
          <w:rFonts w:eastAsia="Arial"/>
          <w:b/>
          <w:bCs/>
        </w:rPr>
        <w:t>Bank Security Agent</w:t>
      </w:r>
      <w:r>
        <w:t>"</w:t>
      </w:r>
      <w:r w:rsidRPr="005752F8">
        <w:t xml:space="preserve"> has the meaning ascribed thereto in the Facilities Agreement.</w:t>
      </w:r>
    </w:p>
    <w:p w:rsidR="0049269E" w:rsidP="0049269E" w:rsidRDefault="001F0903" w14:paraId="3411CE1A" w14:textId="478268F5">
      <w:pPr>
        <w:pStyle w:val="BodyText"/>
        <w:rPr>
          <w:rFonts w:ascii="Arial" w:hAnsi="Arial" w:eastAsia="Arial" w:cs="Arial"/>
        </w:rPr>
      </w:pPr>
      <w:r>
        <w:t>"</w:t>
      </w:r>
      <w:r w:rsidRPr="001F0903" w:rsidR="0049269E">
        <w:rPr>
          <w:rFonts w:eastAsia="Arial"/>
          <w:b/>
          <w:bCs/>
        </w:rPr>
        <w:t>Borrowing Base Ancillary Facility Commitment</w:t>
      </w:r>
      <w:r>
        <w:t>"</w:t>
      </w:r>
      <w:r w:rsidRPr="005752F8">
        <w:t xml:space="preserve"> has the meaning ascribed thereto in the Facilities Agreement.</w:t>
      </w:r>
    </w:p>
    <w:p w:rsidR="0049269E" w:rsidP="0049269E" w:rsidRDefault="0049269E" w14:paraId="1DDA0B38" w14:textId="77777777">
      <w:pPr>
        <w:pStyle w:val="BodyText"/>
      </w:pPr>
      <w:r>
        <w:t>"</w:t>
      </w:r>
      <w:r w:rsidRPr="00773954">
        <w:rPr>
          <w:b/>
          <w:bCs/>
        </w:rPr>
        <w:t>Borrowing Base Disposal Proceeds</w:t>
      </w:r>
      <w:r>
        <w:t>"</w:t>
      </w:r>
      <w:r w:rsidRPr="00773954">
        <w:t xml:space="preserve"> has the meaning ascribed thereto in the Facilities Agreement.</w:t>
      </w:r>
    </w:p>
    <w:p w:rsidR="0049269E" w:rsidP="0049269E" w:rsidRDefault="0049269E" w14:paraId="50ED2009" w14:textId="77777777">
      <w:pPr>
        <w:pStyle w:val="BodyText"/>
      </w:pPr>
      <w:r>
        <w:t>"</w:t>
      </w:r>
      <w:r w:rsidRPr="00773954">
        <w:rPr>
          <w:b/>
          <w:bCs/>
        </w:rPr>
        <w:t>Borrowing Base Insurance Proceeds</w:t>
      </w:r>
      <w:r>
        <w:t>"</w:t>
      </w:r>
      <w:r w:rsidRPr="00773954">
        <w:t xml:space="preserve"> has the meaning ascribed thereto in the Facilities Agreement.</w:t>
      </w:r>
    </w:p>
    <w:p w:rsidR="0049269E" w:rsidP="0049269E" w:rsidRDefault="001F0903" w14:paraId="064D7E15" w14:textId="71015E9C">
      <w:pPr>
        <w:pStyle w:val="BodyText"/>
        <w:rPr>
          <w:rFonts w:ascii="Arial" w:hAnsi="Arial" w:eastAsia="Arial" w:cs="Arial"/>
        </w:rPr>
      </w:pPr>
      <w:r>
        <w:t>"</w:t>
      </w:r>
      <w:r w:rsidRPr="001F0903" w:rsidR="0049269E">
        <w:rPr>
          <w:rFonts w:eastAsia="Arial"/>
          <w:b/>
          <w:bCs/>
        </w:rPr>
        <w:t>Break Cost</w:t>
      </w:r>
      <w:r>
        <w:t>"</w:t>
      </w:r>
      <w:r w:rsidRPr="005752F8">
        <w:t xml:space="preserve"> has the meaning ascribed thereto in the Facilities Agreement.</w:t>
      </w:r>
    </w:p>
    <w:p w:rsidR="0049269E" w:rsidP="0049269E" w:rsidRDefault="0049269E" w14:paraId="33F2D80E" w14:textId="77777777">
      <w:pPr>
        <w:pStyle w:val="BodyText"/>
      </w:pPr>
      <w:r>
        <w:t>"</w:t>
      </w:r>
      <w:r>
        <w:rPr>
          <w:b/>
          <w:bCs/>
        </w:rPr>
        <w:t>Cashflow</w:t>
      </w:r>
      <w:r>
        <w:t>"</w:t>
      </w:r>
      <w:r w:rsidRPr="00594E99">
        <w:t xml:space="preserve"> </w:t>
      </w:r>
      <w:r w:rsidRPr="00773954">
        <w:t>has the meaning ascribed thereto in the Facilities Agreement.</w:t>
      </w:r>
    </w:p>
    <w:p w:rsidR="0049269E" w:rsidP="0049269E" w:rsidRDefault="0049269E" w14:paraId="616346A4" w14:textId="77777777">
      <w:pPr>
        <w:pStyle w:val="BodyText"/>
      </w:pPr>
      <w:r>
        <w:t>"</w:t>
      </w:r>
      <w:r>
        <w:rPr>
          <w:b/>
          <w:bCs/>
        </w:rPr>
        <w:t>Default</w:t>
      </w:r>
      <w:r>
        <w:t>"</w:t>
      </w:r>
      <w:r w:rsidRPr="004F169F">
        <w:t xml:space="preserve"> </w:t>
      </w:r>
      <w:r w:rsidRPr="00773954">
        <w:t>has the meaning ascribed thereto in the Facilities Agreement.</w:t>
      </w:r>
    </w:p>
    <w:p w:rsidRPr="00773954" w:rsidR="0049269E" w:rsidP="0049269E" w:rsidRDefault="001F0903" w14:paraId="54B0A68B" w14:textId="5C977E2E">
      <w:pPr>
        <w:pStyle w:val="BodyText"/>
      </w:pPr>
      <w:r>
        <w:t>"</w:t>
      </w:r>
      <w:r w:rsidRPr="001F0903" w:rsidR="0049269E">
        <w:rPr>
          <w:rFonts w:eastAsia="Arial"/>
          <w:b/>
          <w:bCs/>
        </w:rPr>
        <w:t>Event Default</w:t>
      </w:r>
      <w:r>
        <w:t>"</w:t>
      </w:r>
      <w:r w:rsidRPr="005752F8">
        <w:t xml:space="preserve"> has the meaning ascribed thereto in the Facilities Agreement.</w:t>
      </w:r>
    </w:p>
    <w:p w:rsidR="0049269E" w:rsidP="0049269E" w:rsidRDefault="0049269E" w14:paraId="3899E888" w14:textId="77777777">
      <w:pPr>
        <w:pStyle w:val="BodyText"/>
      </w:pPr>
      <w:r>
        <w:t>"</w:t>
      </w:r>
      <w:r w:rsidRPr="001F0903">
        <w:rPr>
          <w:b/>
          <w:bCs/>
        </w:rPr>
        <w:t>Finance Document</w:t>
      </w:r>
      <w:r>
        <w:t xml:space="preserve">" </w:t>
      </w:r>
      <w:r w:rsidRPr="00773954">
        <w:t>has the meaning ascribed thereto in the Facilities Agreement.</w:t>
      </w:r>
    </w:p>
    <w:p w:rsidR="0049269E" w:rsidP="0049269E" w:rsidRDefault="001F0903" w14:paraId="2296ACB7" w14:textId="3AD0A020">
      <w:pPr>
        <w:pStyle w:val="BodyText"/>
        <w:rPr>
          <w:rFonts w:ascii="Arial" w:hAnsi="Arial" w:eastAsia="Arial" w:cs="Arial"/>
        </w:rPr>
      </w:pPr>
      <w:r>
        <w:t>"</w:t>
      </w:r>
      <w:r w:rsidRPr="001F0903" w:rsidR="0049269E">
        <w:rPr>
          <w:rFonts w:eastAsia="Arial"/>
          <w:b/>
          <w:bCs/>
        </w:rPr>
        <w:t>Financial Quarter</w:t>
      </w:r>
      <w:r>
        <w:t>"</w:t>
      </w:r>
      <w:r w:rsidRPr="005752F8">
        <w:t xml:space="preserve"> has the meaning ascribed thereto in the Facilities Agreement.</w:t>
      </w:r>
    </w:p>
    <w:p w:rsidR="0049269E" w:rsidP="0049269E" w:rsidRDefault="0049269E" w14:paraId="037A72EA" w14:textId="77777777">
      <w:pPr>
        <w:pStyle w:val="BodyText"/>
      </w:pPr>
      <w:r>
        <w:t>"</w:t>
      </w:r>
      <w:r>
        <w:rPr>
          <w:b/>
          <w:bCs/>
        </w:rPr>
        <w:t>Financial Year</w:t>
      </w:r>
      <w:r>
        <w:t>"</w:t>
      </w:r>
      <w:r w:rsidRPr="002F76C1">
        <w:t xml:space="preserve"> </w:t>
      </w:r>
      <w:r>
        <w:t>has the meaning ascribed thereto in the Facilities Agreement.</w:t>
      </w:r>
    </w:p>
    <w:p w:rsidR="0049269E" w:rsidP="0049269E" w:rsidRDefault="0049269E" w14:paraId="0B9735C1" w14:textId="77777777">
      <w:pPr>
        <w:pStyle w:val="BodyText"/>
      </w:pPr>
      <w:r>
        <w:t>"</w:t>
      </w:r>
      <w:r>
        <w:rPr>
          <w:b/>
          <w:bCs/>
        </w:rPr>
        <w:t>Group</w:t>
      </w:r>
      <w:r>
        <w:t>" has the meaning ascribed thereto in the Facilities Agreement.</w:t>
      </w:r>
    </w:p>
    <w:p w:rsidR="0049269E" w:rsidP="0049269E" w:rsidRDefault="0049269E" w14:paraId="42F5F02D" w14:textId="77777777">
      <w:pPr>
        <w:pStyle w:val="BodyText"/>
      </w:pPr>
      <w:r>
        <w:t>"</w:t>
      </w:r>
      <w:r>
        <w:rPr>
          <w:b/>
          <w:bCs/>
        </w:rPr>
        <w:t>Holding Company</w:t>
      </w:r>
      <w:r>
        <w:t>" has the meaning ascribed thereto in the Facilities Agreement.</w:t>
      </w:r>
    </w:p>
    <w:p w:rsidR="0049269E" w:rsidP="0049269E" w:rsidRDefault="001F0903" w14:paraId="19FB532F" w14:textId="709BB74D">
      <w:pPr>
        <w:pStyle w:val="BodyText"/>
        <w:rPr>
          <w:rFonts w:ascii="Arial" w:hAnsi="Arial" w:eastAsia="Arial" w:cs="Arial"/>
        </w:rPr>
      </w:pPr>
      <w:r>
        <w:t>"</w:t>
      </w:r>
      <w:r w:rsidRPr="001F0903" w:rsidR="0049269E">
        <w:rPr>
          <w:rFonts w:eastAsia="Arial"/>
          <w:b/>
          <w:bCs/>
        </w:rPr>
        <w:t>Intellectual Property</w:t>
      </w:r>
      <w:r>
        <w:t>"</w:t>
      </w:r>
      <w:r w:rsidRPr="005752F8">
        <w:t xml:space="preserve"> has the meaning ascribed thereto in the Facilities Agreement.</w:t>
      </w:r>
    </w:p>
    <w:p w:rsidR="0049269E" w:rsidP="0049269E" w:rsidRDefault="001F0903" w14:paraId="4D775E12" w14:textId="213DB879">
      <w:pPr>
        <w:pStyle w:val="BodyText"/>
      </w:pPr>
      <w:r>
        <w:t>"</w:t>
      </w:r>
      <w:r w:rsidR="0049269E">
        <w:rPr>
          <w:rFonts w:ascii="Arial" w:hAnsi="Arial" w:eastAsia="Arial" w:cs="Arial"/>
        </w:rPr>
        <w:t>[</w:t>
      </w:r>
      <w:r w:rsidRPr="001F0903" w:rsidR="0049269E">
        <w:rPr>
          <w:rFonts w:eastAsia="Arial"/>
          <w:b/>
          <w:bCs/>
        </w:rPr>
        <w:t>Intercreditor Agreement</w:t>
      </w:r>
      <w:r w:rsidR="0049269E">
        <w:rPr>
          <w:rFonts w:ascii="Arial" w:hAnsi="Arial" w:eastAsia="Arial" w:cs="Arial"/>
        </w:rPr>
        <w:t>]</w:t>
      </w:r>
      <w:r>
        <w:t>"</w:t>
      </w:r>
      <w:r w:rsidRPr="005752F8">
        <w:t xml:space="preserve"> has the meaning ascribed thereto in the Facilities Agreement.</w:t>
      </w:r>
    </w:p>
    <w:p w:rsidR="0049269E" w:rsidP="0049269E" w:rsidRDefault="0049269E" w14:paraId="700BB7A0" w14:textId="77777777">
      <w:pPr>
        <w:pStyle w:val="BodyText"/>
      </w:pPr>
      <w:r>
        <w:t>"</w:t>
      </w:r>
      <w:r>
        <w:rPr>
          <w:b/>
          <w:bCs/>
        </w:rPr>
        <w:t>Joint Venture</w:t>
      </w:r>
      <w:r>
        <w:t>" has the meaning ascribed thereto in the Facilities Agreement.</w:t>
      </w:r>
    </w:p>
    <w:p w:rsidR="0049269E" w:rsidP="0049269E" w:rsidRDefault="001F0903" w14:paraId="38D9D0EB" w14:textId="57DACF00">
      <w:pPr>
        <w:pStyle w:val="BodyText"/>
        <w:rPr>
          <w:rFonts w:ascii="Arial" w:hAnsi="Arial" w:eastAsia="Arial" w:cs="Arial"/>
        </w:rPr>
      </w:pPr>
      <w:r>
        <w:t>"</w:t>
      </w:r>
      <w:r w:rsidRPr="001F0903" w:rsidR="0049269E">
        <w:rPr>
          <w:rFonts w:eastAsia="Arial"/>
          <w:b/>
          <w:bCs/>
        </w:rPr>
        <w:t>Lender</w:t>
      </w:r>
      <w:r>
        <w:t>"</w:t>
      </w:r>
      <w:r w:rsidRPr="005752F8">
        <w:t xml:space="preserve"> has the meaning ascribed thereto in the Facilities Agreement.</w:t>
      </w:r>
    </w:p>
    <w:p w:rsidR="0049269E" w:rsidP="0049269E" w:rsidRDefault="001F0903" w14:paraId="7864DDE1" w14:textId="00441310">
      <w:pPr>
        <w:pStyle w:val="BodyText"/>
      </w:pPr>
      <w:r>
        <w:t>"</w:t>
      </w:r>
      <w:r w:rsidRPr="001F0903" w:rsidR="0049269E">
        <w:rPr>
          <w:rFonts w:eastAsia="Arial"/>
          <w:b/>
          <w:bCs/>
        </w:rPr>
        <w:t>LMA</w:t>
      </w:r>
      <w:r>
        <w:t>"</w:t>
      </w:r>
      <w:r w:rsidRPr="005752F8">
        <w:t xml:space="preserve"> has the meaning ascribed thereto in the Facilities Agreement.</w:t>
      </w:r>
    </w:p>
    <w:p w:rsidR="0049269E" w:rsidP="0049269E" w:rsidRDefault="0049269E" w14:paraId="0C9067B2" w14:textId="77777777">
      <w:pPr>
        <w:pStyle w:val="BodyText"/>
      </w:pPr>
      <w:r>
        <w:t>"</w:t>
      </w:r>
      <w:r w:rsidRPr="00773954">
        <w:rPr>
          <w:b/>
          <w:bCs/>
        </w:rPr>
        <w:t>Quasi-Security</w:t>
      </w:r>
      <w:r>
        <w:t>"</w:t>
      </w:r>
      <w:r w:rsidRPr="00773954">
        <w:t xml:space="preserve"> has the meaning ascribed thereto in the Facilities Agreement.</w:t>
      </w:r>
    </w:p>
    <w:p w:rsidR="0049269E" w:rsidP="0049269E" w:rsidRDefault="0049269E" w14:paraId="1AE6C0CD" w14:textId="77777777">
      <w:pPr>
        <w:pStyle w:val="BodyText"/>
      </w:pPr>
      <w:r>
        <w:lastRenderedPageBreak/>
        <w:t>"</w:t>
      </w:r>
      <w:r>
        <w:rPr>
          <w:b/>
          <w:bCs/>
        </w:rPr>
        <w:t>Relevant Market</w:t>
      </w:r>
      <w:r>
        <w:t>"</w:t>
      </w:r>
      <w:r w:rsidRPr="00F23E0B">
        <w:t xml:space="preserve"> </w:t>
      </w:r>
      <w:r w:rsidRPr="00773954">
        <w:t>has the meaning ascribed thereto in the Facilities Agreement.</w:t>
      </w:r>
    </w:p>
    <w:p w:rsidR="0049269E" w:rsidP="0049269E" w:rsidRDefault="0049269E" w14:paraId="217F4799" w14:textId="77777777">
      <w:pPr>
        <w:pStyle w:val="BodyText"/>
      </w:pPr>
      <w:r>
        <w:t>"</w:t>
      </w:r>
      <w:r>
        <w:rPr>
          <w:b/>
          <w:bCs/>
        </w:rPr>
        <w:t>Relevant Period</w:t>
      </w:r>
      <w:r>
        <w:t xml:space="preserve">" </w:t>
      </w:r>
      <w:r w:rsidRPr="00773954">
        <w:t>has the meaning ascribed thereto in the Facilities Agreement.</w:t>
      </w:r>
    </w:p>
    <w:p w:rsidR="0049269E" w:rsidP="0049269E" w:rsidRDefault="0049269E" w14:paraId="2AEA8B3B" w14:textId="77777777">
      <w:pPr>
        <w:pStyle w:val="BodyText"/>
      </w:pPr>
      <w:r>
        <w:t>"</w:t>
      </w:r>
      <w:r w:rsidRPr="00773954">
        <w:rPr>
          <w:b/>
          <w:bCs/>
        </w:rPr>
        <w:t>Repeating Representations</w:t>
      </w:r>
      <w:r>
        <w:t>"</w:t>
      </w:r>
      <w:r w:rsidRPr="00773954">
        <w:t xml:space="preserve"> has the meaning ascribed thereto in the Facilities Agreement.</w:t>
      </w:r>
    </w:p>
    <w:p w:rsidR="0049269E" w:rsidP="0049269E" w:rsidRDefault="0049269E" w14:paraId="02EC1753" w14:textId="77777777">
      <w:pPr>
        <w:pStyle w:val="BodyText"/>
      </w:pPr>
      <w:r>
        <w:t>"</w:t>
      </w:r>
      <w:r w:rsidRPr="00773954">
        <w:rPr>
          <w:b/>
          <w:bCs/>
        </w:rPr>
        <w:t>Restricted Party</w:t>
      </w:r>
      <w:r>
        <w:t>"</w:t>
      </w:r>
      <w:r w:rsidRPr="00773954">
        <w:t xml:space="preserve"> has the meaning ascribed thereto in the Facilities Agreement.</w:t>
      </w:r>
    </w:p>
    <w:p w:rsidR="0049269E" w:rsidP="0049269E" w:rsidRDefault="0049269E" w14:paraId="36478A2B" w14:textId="77777777">
      <w:pPr>
        <w:pStyle w:val="BodyText"/>
      </w:pPr>
      <w:r>
        <w:t>"</w:t>
      </w:r>
      <w:r w:rsidRPr="00773954">
        <w:rPr>
          <w:b/>
          <w:bCs/>
        </w:rPr>
        <w:t>Sanctions</w:t>
      </w:r>
      <w:r>
        <w:t>"</w:t>
      </w:r>
      <w:r w:rsidRPr="00773954">
        <w:t xml:space="preserve"> has the meaning ascribed thereto in the Facilities Agreement.</w:t>
      </w:r>
    </w:p>
    <w:p w:rsidRPr="00773954" w:rsidR="0049269E" w:rsidP="0049269E" w:rsidRDefault="0049269E" w14:paraId="718C643E" w14:textId="77777777">
      <w:pPr>
        <w:pStyle w:val="BodyText"/>
      </w:pPr>
      <w:r>
        <w:t>"</w:t>
      </w:r>
      <w:r w:rsidRPr="00773954">
        <w:rPr>
          <w:b/>
          <w:bCs/>
        </w:rPr>
        <w:t>Sanctions Authority</w:t>
      </w:r>
      <w:r>
        <w:t>"</w:t>
      </w:r>
      <w:r w:rsidRPr="00773954">
        <w:t xml:space="preserve"> has the meaning ascribed thereto in the Facilities Agreement.</w:t>
      </w:r>
    </w:p>
    <w:p w:rsidR="0049269E" w:rsidP="0049269E" w:rsidRDefault="0049269E" w14:paraId="31EEA073" w14:textId="77777777">
      <w:pPr>
        <w:pStyle w:val="BodyText"/>
      </w:pPr>
      <w:r>
        <w:t>"</w:t>
      </w:r>
      <w:r w:rsidRPr="00773954">
        <w:rPr>
          <w:b/>
          <w:bCs/>
        </w:rPr>
        <w:t>Sanctions List</w:t>
      </w:r>
      <w:r>
        <w:t>"</w:t>
      </w:r>
      <w:r w:rsidRPr="00773954">
        <w:t xml:space="preserve"> has the meaning ascribed thereto in the Facilities Agreement.</w:t>
      </w:r>
    </w:p>
    <w:p w:rsidR="0049269E" w:rsidP="0049269E" w:rsidRDefault="001F0903" w14:paraId="58439A1A" w14:textId="4E9BFB0B">
      <w:pPr>
        <w:pStyle w:val="BodyText"/>
        <w:rPr>
          <w:rFonts w:ascii="Arial" w:hAnsi="Arial" w:eastAsia="Arial" w:cs="Arial"/>
        </w:rPr>
      </w:pPr>
      <w:r>
        <w:t>"</w:t>
      </w:r>
      <w:r w:rsidRPr="001F0903" w:rsidR="0049269E">
        <w:rPr>
          <w:rFonts w:eastAsia="Arial"/>
          <w:b/>
          <w:bCs/>
        </w:rPr>
        <w:t>Secured Obligation</w:t>
      </w:r>
      <w:r>
        <w:t>"</w:t>
      </w:r>
      <w:r w:rsidRPr="005752F8">
        <w:t xml:space="preserve"> has the meaning ascribed thereto in the Facilities Agreement.</w:t>
      </w:r>
    </w:p>
    <w:p w:rsidRPr="00773954" w:rsidR="0049269E" w:rsidP="0049269E" w:rsidRDefault="001F0903" w14:paraId="49128F8D" w14:textId="50FAB19C">
      <w:pPr>
        <w:pStyle w:val="BodyText"/>
      </w:pPr>
      <w:r>
        <w:t>"</w:t>
      </w:r>
      <w:r w:rsidRPr="001F0903" w:rsidR="0049269E">
        <w:rPr>
          <w:rFonts w:eastAsia="Arial"/>
          <w:b/>
          <w:bCs/>
        </w:rPr>
        <w:t>Secured Party</w:t>
      </w:r>
      <w:r>
        <w:t>"</w:t>
      </w:r>
      <w:r w:rsidRPr="005752F8">
        <w:t xml:space="preserve"> has the meaning ascribed thereto in the Facilities Agreement.</w:t>
      </w:r>
    </w:p>
    <w:p w:rsidR="0049269E" w:rsidP="0049269E" w:rsidRDefault="0049269E" w14:paraId="2A8E346B" w14:textId="77777777">
      <w:pPr>
        <w:pStyle w:val="BodyText"/>
      </w:pPr>
      <w:r>
        <w:t>"</w:t>
      </w:r>
      <w:r w:rsidRPr="00773954">
        <w:rPr>
          <w:b/>
          <w:bCs/>
        </w:rPr>
        <w:t>Security</w:t>
      </w:r>
      <w:r>
        <w:t>"</w:t>
      </w:r>
      <w:r w:rsidRPr="00773954">
        <w:t xml:space="preserve"> has the meaning ascribed thereto in the Facilities Agreement.</w:t>
      </w:r>
    </w:p>
    <w:p w:rsidR="0049269E" w:rsidP="0049269E" w:rsidRDefault="0049269E" w14:paraId="294CB472" w14:textId="77777777">
      <w:pPr>
        <w:pStyle w:val="BodyText"/>
      </w:pPr>
      <w:r>
        <w:t>"</w:t>
      </w:r>
      <w:r>
        <w:rPr>
          <w:b/>
          <w:bCs/>
        </w:rPr>
        <w:t>Subsidiary</w:t>
      </w:r>
      <w:r>
        <w:t>" has the meaning ascribed thereto in the Facilities Agreement.</w:t>
      </w:r>
    </w:p>
    <w:p w:rsidRPr="005752F8" w:rsidR="0049269E" w:rsidP="0049269E" w:rsidRDefault="0049269E" w14:paraId="7EB330C8" w14:textId="77777777">
      <w:pPr>
        <w:pStyle w:val="BodyText"/>
      </w:pPr>
      <w:r>
        <w:t>"</w:t>
      </w:r>
      <w:r>
        <w:rPr>
          <w:b/>
          <w:bCs/>
        </w:rPr>
        <w:t>Supplemental Deed of Pledge</w:t>
      </w:r>
      <w:r>
        <w:t>" has the meaning ascribed thereto in the Facilities Agreement.</w:t>
      </w:r>
    </w:p>
    <w:p w:rsidR="0049269E" w:rsidP="0049269E" w:rsidRDefault="0049269E" w14:paraId="3B6371C7" w14:textId="77777777">
      <w:pPr>
        <w:pStyle w:val="BodyText"/>
      </w:pPr>
      <w:r>
        <w:t>"</w:t>
      </w:r>
      <w:r>
        <w:rPr>
          <w:b/>
          <w:bCs/>
        </w:rPr>
        <w:t>TARGET Day</w:t>
      </w:r>
      <w:r>
        <w:t>" has the meaning ascribed thereto in the Facilities Agreement.</w:t>
      </w:r>
    </w:p>
    <w:p w:rsidR="0049269E" w:rsidP="0049269E" w:rsidRDefault="0049269E" w14:paraId="7110A25A" w14:textId="77777777">
      <w:pPr>
        <w:pStyle w:val="BodyText"/>
      </w:pPr>
      <w:r>
        <w:t>"</w:t>
      </w:r>
      <w:r w:rsidRPr="005752F8">
        <w:rPr>
          <w:b/>
          <w:bCs/>
        </w:rPr>
        <w:t>Third Party Disposal</w:t>
      </w:r>
      <w:r>
        <w:t xml:space="preserve">" </w:t>
      </w:r>
      <w:r w:rsidRPr="00773954">
        <w:t>has the meaning ascribed thereto in the Facilities Agreemen</w:t>
      </w:r>
      <w:r>
        <w:t>t</w:t>
      </w:r>
      <w:r w:rsidRPr="00773954">
        <w:t>.</w:t>
      </w:r>
    </w:p>
    <w:p w:rsidRPr="006E2162" w:rsidR="0049269E" w:rsidP="0049269E" w:rsidRDefault="0049269E" w14:paraId="608FEB5D" w14:textId="77777777">
      <w:pPr>
        <w:pStyle w:val="BodyText"/>
        <w:rPr>
          <w:b/>
          <w:bCs/>
        </w:rPr>
      </w:pPr>
      <w:r w:rsidRPr="006E2162">
        <w:t>"</w:t>
      </w:r>
      <w:r w:rsidRPr="00622C5D">
        <w:rPr>
          <w:b/>
          <w:bCs/>
        </w:rPr>
        <w:t>Transaction Security</w:t>
      </w:r>
      <w:r w:rsidRPr="006E2162">
        <w:t>"</w:t>
      </w:r>
      <w:r w:rsidRPr="00622C5D">
        <w:t xml:space="preserve"> </w:t>
      </w:r>
      <w:r w:rsidRPr="00773954">
        <w:t>has the meaning ascribed thereto in the Facilities Agreement</w:t>
      </w:r>
      <w:r>
        <w:rPr>
          <w:b/>
          <w:bCs/>
        </w:rPr>
        <w:t>.</w:t>
      </w:r>
    </w:p>
    <w:p w:rsidRPr="004750D5" w:rsidR="0049269E" w:rsidP="001F0903" w:rsidRDefault="001F0903" w14:paraId="3FC691BC" w14:textId="770C9A84">
      <w:pPr>
        <w:pStyle w:val="BodyText"/>
      </w:pPr>
      <w:r>
        <w:t>"</w:t>
      </w:r>
      <w:r>
        <w:rPr>
          <w:b/>
          <w:bCs/>
        </w:rPr>
        <w:t>Transaction Security</w:t>
      </w:r>
      <w:r w:rsidR="00C71F8C">
        <w:rPr>
          <w:b/>
          <w:bCs/>
        </w:rPr>
        <w:t xml:space="preserve"> </w:t>
      </w:r>
      <w:r>
        <w:rPr>
          <w:b/>
          <w:bCs/>
        </w:rPr>
        <w:t>Documents</w:t>
      </w:r>
      <w:r>
        <w:t xml:space="preserve">" </w:t>
      </w:r>
      <w:r w:rsidRPr="00773954">
        <w:t>has the meaning ascribed thereto in the Facilities Agreement.</w:t>
      </w:r>
    </w:p>
    <w:sectPr w:rsidRPr="004750D5" w:rsidR="0049269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A67" w:rsidP="00653A67" w:rsidRDefault="00653A67" w14:paraId="2B8851DF" w14:textId="77777777">
      <w:pPr>
        <w:spacing w:after="0"/>
      </w:pPr>
      <w:r>
        <w:separator/>
      </w:r>
    </w:p>
  </w:endnote>
  <w:endnote w:type="continuationSeparator" w:id="0">
    <w:p w:rsidR="00653A67" w:rsidP="00653A67" w:rsidRDefault="00653A67" w14:paraId="639683FD"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09"/>
      <w:gridCol w:w="3009"/>
      <w:gridCol w:w="3009"/>
    </w:tblGrid>
    <w:tr w:rsidR="000B438C" w:rsidTr="00832BBF" w14:paraId="7D0E8B68" w14:textId="77777777">
      <w:tc>
        <w:tcPr>
          <w:tcW w:w="3009" w:type="dxa"/>
        </w:tcPr>
        <w:p w:rsidR="000B438C" w:rsidP="000B438C" w:rsidRDefault="000B438C" w14:paraId="2B600D9E" w14:textId="51E80C60">
          <w:pPr>
            <w:pStyle w:val="FooterRight"/>
            <w:jc w:val="both"/>
            <w:rPr>
              <w:rStyle w:val="PageNumber"/>
            </w:rPr>
          </w:pPr>
          <w:r>
            <w:t xml:space="preserve">FAAN Guidance Note </w:t>
          </w:r>
        </w:p>
      </w:tc>
      <w:tc>
        <w:tcPr>
          <w:tcW w:w="3009" w:type="dxa"/>
        </w:tcPr>
        <w:p w:rsidRPr="00ED3B42" w:rsidR="000B438C" w:rsidP="000B438C" w:rsidRDefault="000B438C" w14:paraId="3E317BC9" w14:textId="78B0A2BC">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rPr>
            <w:t>1</w:t>
          </w:r>
          <w:r>
            <w:rPr>
              <w:rStyle w:val="PageNumber"/>
            </w:rPr>
            <w:fldChar w:fldCharType="end"/>
          </w:r>
          <w:r>
            <w:rPr>
              <w:rStyle w:val="PageNumber"/>
            </w:rPr>
            <w:t xml:space="preserve"> -</w:t>
          </w:r>
        </w:p>
      </w:tc>
      <w:tc>
        <w:tcPr>
          <w:tcW w:w="3009" w:type="dxa"/>
        </w:tcPr>
        <w:p w:rsidR="000B438C" w:rsidP="000B438C" w:rsidRDefault="000B438C" w14:paraId="0B66AD2F" w14:textId="60DD9E10">
          <w:pPr>
            <w:pStyle w:val="FooterRight"/>
          </w:pPr>
          <w:r>
            <w:t xml:space="preserve">Version </w:t>
          </w:r>
          <w:r w:rsidR="00B733AA">
            <w:t>October</w:t>
          </w:r>
          <w:r w:rsidR="00D626F8">
            <w:t xml:space="preserve"> 2025</w:t>
          </w:r>
        </w:p>
      </w:tc>
    </w:tr>
  </w:tbl>
  <w:p w:rsidRPr="000B438C" w:rsidR="00653A67" w:rsidP="000B438C" w:rsidRDefault="00653A67" w14:paraId="03654867" w14:textId="63599AF0">
    <w:pPr>
      <w:pStyle w:val="Footer"/>
      <w:rPr>
        <w:caps/>
        <w:noProof/>
        <w:color w:val="4472C4"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A67" w:rsidP="00653A67" w:rsidRDefault="00653A67" w14:paraId="449155CD" w14:textId="77777777">
      <w:pPr>
        <w:spacing w:after="0"/>
      </w:pPr>
      <w:r>
        <w:separator/>
      </w:r>
    </w:p>
  </w:footnote>
  <w:footnote w:type="continuationSeparator" w:id="0">
    <w:p w:rsidR="00653A67" w:rsidP="00653A67" w:rsidRDefault="00653A67" w14:paraId="1780E8C6" w14:textId="77777777">
      <w:pPr>
        <w:spacing w:after="0"/>
      </w:pPr>
      <w:r>
        <w:continuationSeparator/>
      </w:r>
    </w:p>
  </w:footnote>
  <w:footnote w:id="1">
    <w:p w:rsidRPr="00D11D7A" w:rsidR="00D11D7A" w:rsidRDefault="00D11D7A" w14:paraId="5A729500" w14:textId="471E501E">
      <w:pPr>
        <w:pStyle w:val="FootnoteText"/>
      </w:pPr>
      <w:r>
        <w:rPr>
          <w:rStyle w:val="FootnoteReference"/>
        </w:rPr>
        <w:footnoteRef/>
      </w:r>
      <w:r>
        <w:t xml:space="preserve"> The </w:t>
      </w:r>
      <w:r w:rsidRPr="000E1C56">
        <w:t>FAAN Borrowing Base Ancillary Document</w:t>
      </w:r>
      <w:r>
        <w:t xml:space="preserve"> will also be a good starting point for scenarios where the credit agreement is based on one of the other formats of LMA,</w:t>
      </w:r>
      <w:r w:rsidRPr="00D11D7A">
        <w:t xml:space="preserve"> </w:t>
      </w:r>
      <w:r>
        <w:t>but will require further consideration.</w:t>
      </w:r>
    </w:p>
  </w:footnote>
  <w:footnote w:id="2">
    <w:p w:rsidRPr="00D32AF6" w:rsidR="00D32AF6" w:rsidRDefault="00D32AF6" w14:paraId="07E61F16" w14:textId="77E2B156">
      <w:pPr>
        <w:pStyle w:val="FootnoteText"/>
        <w:rPr>
          <w:lang w:val="en-US"/>
        </w:rPr>
      </w:pPr>
      <w:r>
        <w:rPr>
          <w:rStyle w:val="FootnoteReference"/>
        </w:rPr>
        <w:footnoteRef/>
      </w:r>
      <w:r>
        <w:t xml:space="preserve"> As opposed to Ancillary Documents relating to an RCF which are generally provided on a bilateral basis.</w:t>
      </w:r>
    </w:p>
  </w:footnote>
  <w:footnote w:id="3">
    <w:p w:rsidRPr="000E1C56" w:rsidR="000E1C56" w:rsidRDefault="000E1C56" w14:paraId="5E00709C" w14:textId="0D6B0C8A">
      <w:pPr>
        <w:pStyle w:val="FootnoteText"/>
        <w:rPr>
          <w:lang w:val="en-US"/>
        </w:rPr>
      </w:pPr>
      <w:r>
        <w:rPr>
          <w:rStyle w:val="FootnoteReference"/>
        </w:rPr>
        <w:footnoteRef/>
      </w:r>
      <w:r>
        <w:t xml:space="preserve"> The </w:t>
      </w:r>
      <w:r w:rsidRPr="000E1C56">
        <w:t>FAAN Borrowing Base Ancillary Document</w:t>
      </w:r>
      <w:r>
        <w:t xml:space="preserve"> will also be a good starting point for scenarios where the Lenders under the Facilities (other than the Borrowing Base Facility) and the Lenders under the Borrowing Base Facility are not affiliated</w:t>
      </w:r>
      <w:r w:rsidR="00267B79">
        <w:t xml:space="preserve">, but will require further consideration. </w:t>
      </w:r>
      <w:r>
        <w:t xml:space="preserve"> </w:t>
      </w:r>
    </w:p>
  </w:footnote>
  <w:footnote w:id="4">
    <w:p w:rsidRPr="004B48B5" w:rsidR="004B48B5" w:rsidRDefault="004B48B5" w14:paraId="302FDD04" w14:textId="41D0573A">
      <w:pPr>
        <w:pStyle w:val="FootnoteText"/>
      </w:pPr>
      <w:r>
        <w:rPr>
          <w:rStyle w:val="FootnoteReference"/>
        </w:rPr>
        <w:footnoteRef/>
      </w:r>
      <w:r>
        <w:t xml:space="preserve"> </w:t>
      </w:r>
      <w:r>
        <w:rPr>
          <w:lang w:val="en-US"/>
        </w:rPr>
        <w:t>If this is not the agreed position, other debt layers are applicable or an Intercreditor Agreement is put in place, parties should consider the agreed approach in respect of acceleration, instructions and voting under the Facilities Agreement and/or Intercreditor Agreement</w:t>
      </w:r>
      <w:r w:rsidR="003D7708">
        <w:rPr>
          <w:lang w:val="en-US"/>
        </w:rPr>
        <w:t>.</w:t>
      </w:r>
    </w:p>
  </w:footnote>
  <w:footnote w:id="5">
    <w:p w:rsidRPr="00183085" w:rsidR="00183085" w:rsidRDefault="00183085" w14:paraId="5B012DF6" w14:textId="6D69A983">
      <w:pPr>
        <w:pStyle w:val="FootnoteText"/>
        <w:rPr>
          <w:lang w:val="en-US"/>
        </w:rPr>
      </w:pPr>
      <w:r>
        <w:rPr>
          <w:rStyle w:val="FootnoteReference"/>
        </w:rPr>
        <w:footnoteRef/>
      </w:r>
      <w:r>
        <w:t xml:space="preserve"> If any of the Ancillary Borrowers are incorporated in another jurisdiction, a limited local law review will be required. </w:t>
      </w:r>
    </w:p>
  </w:footnote>
  <w:footnote w:id="6">
    <w:p w:rsidRPr="00D626F8" w:rsidR="00D626F8" w:rsidP="00D626F8" w:rsidRDefault="00D626F8" w14:paraId="54485857" w14:textId="43658D02">
      <w:pPr>
        <w:pStyle w:val="FootnoteText"/>
      </w:pPr>
      <w:r>
        <w:rPr>
          <w:rStyle w:val="FootnoteReference"/>
        </w:rPr>
        <w:footnoteRef/>
      </w:r>
      <w:r>
        <w:t xml:space="preserve"> When a precedent </w:t>
      </w:r>
      <w:r w:rsidRPr="00D9688D">
        <w:t>LMA Leveraged Document</w:t>
      </w:r>
      <w:r>
        <w:t xml:space="preserve"> is used in combination with the FAAN Borrowing Base Ancillary Facility Document, parties should ensure that the precedent document is stripped from any old references to the relevant borrowing base ancillary and its mechanics, to the extent such is not explicitly required on the basis of the FAAN Borrowing Base Ancillary Facility Document and this guidance note. </w:t>
      </w:r>
    </w:p>
  </w:footnote>
  <w:footnote w:id="7">
    <w:p w:rsidRPr="00D626F8" w:rsidR="00D626F8" w:rsidRDefault="00D626F8" w14:paraId="1AF99988" w14:textId="78A0EC5A">
      <w:pPr>
        <w:pStyle w:val="FootnoteText"/>
      </w:pPr>
      <w:r>
        <w:rPr>
          <w:rStyle w:val="FootnoteReference"/>
        </w:rPr>
        <w:footnoteRef/>
      </w:r>
      <w:r>
        <w:t xml:space="preserve"> As per paragraph 2 of this guidance note, the same terminology is to be used in the </w:t>
      </w:r>
      <w:r w:rsidRPr="00D9688D">
        <w:t>LMA Leveraged Document</w:t>
      </w:r>
      <w:r>
        <w:t xml:space="preserve"> (no references to ABL, BB, etc.), unless explicitly agreed by relevant FAAN member</w:t>
      </w:r>
      <w:r w:rsidR="00B359BE">
        <w:t>(s)</w:t>
      </w:r>
      <w:r>
        <w:t>.</w:t>
      </w:r>
    </w:p>
  </w:footnote>
  <w:footnote w:id="8">
    <w:p w:rsidRPr="004E58B9" w:rsidR="004E58B9" w:rsidRDefault="004E58B9" w14:paraId="28E58D30" w14:textId="2C499B31">
      <w:pPr>
        <w:pStyle w:val="FootnoteText"/>
      </w:pPr>
      <w:r>
        <w:rPr>
          <w:rStyle w:val="FootnoteReference"/>
        </w:rPr>
        <w:footnoteRef/>
      </w:r>
      <w:r>
        <w:t xml:space="preserve"> </w:t>
      </w:r>
      <w:r w:rsidR="00DD2823">
        <w:t xml:space="preserve">As customary for any Dutch transactions on the basis of the (originally English law) </w:t>
      </w:r>
      <w:r w:rsidRPr="00D9688D" w:rsidR="00DD2823">
        <w:t>LMA Leveraged Document</w:t>
      </w:r>
      <w:r w:rsidR="00DD2823">
        <w:t>, appropriate p</w:t>
      </w:r>
      <w:r>
        <w:t>arallel debt wording</w:t>
      </w:r>
      <w:r w:rsidR="00DD2823">
        <w:t xml:space="preserve"> should also be</w:t>
      </w:r>
      <w:r>
        <w:t xml:space="preserve"> included</w:t>
      </w:r>
      <w:r w:rsidR="00DD2823">
        <w:t xml:space="preserve"> to mirror these secured obligations</w:t>
      </w:r>
      <w:r>
        <w:t>.</w:t>
      </w:r>
    </w:p>
  </w:footnote>
  <w:footnote w:id="9">
    <w:p w:rsidRPr="00806F18" w:rsidR="00806F18" w:rsidRDefault="00806F18" w14:paraId="10F89591" w14:textId="1204AA5F">
      <w:pPr>
        <w:pStyle w:val="FootnoteText"/>
        <w:rPr>
          <w:lang w:val="en-US"/>
        </w:rPr>
      </w:pPr>
      <w:r>
        <w:rPr>
          <w:rStyle w:val="FootnoteReference"/>
        </w:rPr>
        <w:footnoteRef/>
      </w:r>
      <w:r>
        <w:t xml:space="preserve"> </w:t>
      </w:r>
      <w:r>
        <w:rPr>
          <w:lang w:val="en-US"/>
        </w:rPr>
        <w:t xml:space="preserve">This is subject to the customary steps of sums owing towards the relevant Agents and/or Security Agents for fees etc. Hedging to be considered on a transaction basis. </w:t>
      </w:r>
    </w:p>
  </w:footnote>
  <w:footnote w:id="10">
    <w:p w:rsidRPr="00B733AA" w:rsidR="00B733AA" w:rsidRDefault="00B733AA" w14:paraId="45BE4F25" w14:textId="472F1A86">
      <w:pPr>
        <w:pStyle w:val="FootnoteText"/>
        <w:rPr>
          <w:lang w:val="en-US"/>
        </w:rPr>
      </w:pPr>
      <w:r>
        <w:rPr>
          <w:rStyle w:val="FootnoteReference"/>
        </w:rPr>
        <w:footnoteRef/>
      </w:r>
      <w:r>
        <w:t xml:space="preserve"> The legal and/or practical </w:t>
      </w:r>
      <w:r w:rsidR="00C4481B">
        <w:t>implications</w:t>
      </w:r>
      <w:r>
        <w:t xml:space="preserve"> of (any changes to) the </w:t>
      </w:r>
      <w:r w:rsidRPr="00B733AA">
        <w:rPr>
          <w:lang w:val="en-US"/>
        </w:rPr>
        <w:t>Instant Payments Regulation</w:t>
      </w:r>
      <w:r>
        <w:rPr>
          <w:lang w:val="en-US"/>
        </w:rPr>
        <w:t xml:space="preserve"> and </w:t>
      </w:r>
      <w:r w:rsidRPr="00B733AA">
        <w:rPr>
          <w:lang w:val="en-US"/>
        </w:rPr>
        <w:t>Single European Payments Area Regulation</w:t>
      </w:r>
      <w:r w:rsidRPr="00B733AA">
        <w:rPr>
          <w:lang w:val="en-US"/>
        </w:rPr>
        <w:t xml:space="preserve"> </w:t>
      </w:r>
      <w:r>
        <w:rPr>
          <w:lang w:val="en-US"/>
        </w:rPr>
        <w:t xml:space="preserve">on </w:t>
      </w:r>
      <w:r>
        <w:rPr>
          <w:i/>
          <w:iCs/>
          <w:lang w:val="en-US"/>
        </w:rPr>
        <w:t xml:space="preserve">inzakerekeningen </w:t>
      </w:r>
      <w:r>
        <w:rPr>
          <w:lang w:val="en-US"/>
        </w:rPr>
        <w:t xml:space="preserve">have not been considered in preparing in this memo or the  </w:t>
      </w:r>
      <w:r>
        <w:t>FAAN Borrowing Base Ancillary Facility Document</w:t>
      </w:r>
      <w:r>
        <w:t>.</w:t>
      </w:r>
    </w:p>
  </w:footnote>
  <w:footnote w:id="11">
    <w:p w:rsidRPr="00AA313C" w:rsidR="00DD2823" w:rsidP="00DD2823" w:rsidRDefault="00DD2823" w14:paraId="0ED35793" w14:textId="77777777">
      <w:pPr>
        <w:pStyle w:val="FootnoteText"/>
        <w:rPr>
          <w:lang w:val="en-US"/>
        </w:rPr>
      </w:pPr>
      <w:r>
        <w:rPr>
          <w:rStyle w:val="FootnoteReference"/>
        </w:rPr>
        <w:footnoteRef/>
      </w:r>
      <w:r>
        <w:t xml:space="preserve"> </w:t>
      </w:r>
      <w:r w:rsidRPr="00AA313C">
        <w:rPr>
          <w:lang w:val="en-US"/>
        </w:rPr>
        <w:t xml:space="preserve">Generally, </w:t>
      </w:r>
      <w:r>
        <w:rPr>
          <w:lang w:val="en-US"/>
        </w:rPr>
        <w:t xml:space="preserve">any </w:t>
      </w:r>
      <w:r w:rsidRPr="00AA313C">
        <w:rPr>
          <w:lang w:val="en-US"/>
        </w:rPr>
        <w:t>risk free rate p</w:t>
      </w:r>
      <w:r>
        <w:rPr>
          <w:lang w:val="en-US"/>
        </w:rPr>
        <w:t xml:space="preserve">rovision of the SFA apply to Loans (and do not apply to Ancillary Documents or drawings under such Ancillary Documents).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690"/>
    <w:multiLevelType w:val="hybridMultilevel"/>
    <w:tmpl w:val="443AC0FE"/>
    <w:lvl w:ilvl="0" w:tplc="2BDE5CD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2E033C"/>
    <w:multiLevelType w:val="hybridMultilevel"/>
    <w:tmpl w:val="36D015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37A3483"/>
    <w:multiLevelType w:val="hybridMultilevel"/>
    <w:tmpl w:val="802476C4"/>
    <w:lvl w:ilvl="0" w:tplc="3406579C">
      <w:start w:val="1"/>
      <w:numFmt w:val="lowerLetter"/>
      <w:lvlText w:val="(%1)"/>
      <w:lvlJc w:val="left"/>
      <w:pPr>
        <w:ind w:left="567" w:hanging="567"/>
      </w:pPr>
      <w:rPr>
        <w:rFonts w:ascii="Times New Roman" w:eastAsia="SimSun" w:hAnsi="Times New Roman"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3" w15:restartNumberingAfterBreak="0">
    <w:nsid w:val="3C01343A"/>
    <w:multiLevelType w:val="hybridMultilevel"/>
    <w:tmpl w:val="802476C4"/>
    <w:lvl w:ilvl="0" w:tplc="FFFFFFFF">
      <w:start w:val="1"/>
      <w:numFmt w:val="lowerLetter"/>
      <w:lvlText w:val="(%1)"/>
      <w:lvlJc w:val="left"/>
      <w:pPr>
        <w:ind w:left="567" w:hanging="567"/>
      </w:pPr>
      <w:rPr>
        <w:rFonts w:ascii="Times New Roman" w:eastAsia="SimSun" w:hAnsi="Times New Roman" w:cs="Times New Roman"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4" w15:restartNumberingAfterBreak="0">
    <w:nsid w:val="45BC73D3"/>
    <w:multiLevelType w:val="hybridMultilevel"/>
    <w:tmpl w:val="013465AC"/>
    <w:lvl w:ilvl="0" w:tplc="DE284E5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CC809CF"/>
    <w:multiLevelType w:val="multilevel"/>
    <w:tmpl w:val="022CA1CE"/>
    <w:name w:val="Schedule 2"/>
    <w:lvl w:ilvl="0">
      <w:start w:val="1"/>
      <w:numFmt w:val="decimal"/>
      <w:lvlRestart w:val="0"/>
      <w:pStyle w:val="Schedule2L1"/>
      <w:suff w:val="nothing"/>
      <w:lvlText w:val="Schedule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decimal"/>
      <w:pStyle w:val="Schedule2L2"/>
      <w:suff w:val="nothing"/>
      <w:lvlText w:val="Part %2"/>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pStyle w:val="Schedule2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Letter"/>
      <w:pStyle w:val="Schedule2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chedule2L5"/>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chedule2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chedule2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chedule2L8"/>
      <w:suff w:val="nothing"/>
      <w:lvlText w:val=""/>
      <w:lvlJc w:val="left"/>
      <w:pPr>
        <w:ind w:left="0" w:firstLine="0"/>
      </w:pPr>
      <w:rPr>
        <w:rFonts w:ascii="Times New Roman" w:hAnsi="Times New Roman" w:cs="Times New Roman" w:hint="default"/>
        <w:b w:val="0"/>
        <w:i/>
        <w:caps w:val="0"/>
        <w:strike w:val="0"/>
        <w:dstrike w:val="0"/>
        <w:vanish w:val="0"/>
        <w:color w:val="auto"/>
        <w:sz w:val="24"/>
        <w:u w:val="none"/>
        <w:vertAlign w:val="baseline"/>
      </w:rPr>
    </w:lvl>
    <w:lvl w:ilvl="8">
      <w:start w:val="1"/>
      <w:numFmt w:val="none"/>
      <w:lvlRestart w:val="0"/>
      <w:pStyle w:val="Schedule2L9"/>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abstractNum>
  <w:abstractNum w:abstractNumId="6" w15:restartNumberingAfterBreak="0">
    <w:nsid w:val="79F4655D"/>
    <w:multiLevelType w:val="multilevel"/>
    <w:tmpl w:val="6C209E4E"/>
    <w:lvl w:ilvl="0">
      <w:start w:val="1"/>
      <w:numFmt w:val="decimal"/>
      <w:lvlRestart w:val="0"/>
      <w:suff w:val="nothing"/>
      <w:lvlText w:val="Schedule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decimal"/>
      <w:suff w:val="nothing"/>
      <w:lvlText w:val="Part %2"/>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Letter"/>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hint="default"/>
        <w:b w:val="0"/>
        <w:i/>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abstractNum>
  <w:abstractNum w:abstractNumId="7" w15:restartNumberingAfterBreak="0">
    <w:nsid w:val="7A753BE2"/>
    <w:multiLevelType w:val="hybridMultilevel"/>
    <w:tmpl w:val="2E6C3600"/>
    <w:lvl w:ilvl="0" w:tplc="FFFFFFFF">
      <w:start w:val="1"/>
      <w:numFmt w:val="lowerLetter"/>
      <w:lvlText w:val="(%1)"/>
      <w:lvlJc w:val="left"/>
      <w:pPr>
        <w:ind w:left="420" w:hanging="360"/>
      </w:pPr>
      <w:rPr>
        <w:rFonts w:ascii="Times New Roman" w:eastAsia="SimSun" w:hAnsi="Times New Roman" w:cs="Times New Roman"/>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num w:numId="1" w16cid:durableId="1155101570">
    <w:abstractNumId w:val="1"/>
  </w:num>
  <w:num w:numId="2" w16cid:durableId="1649018358">
    <w:abstractNumId w:val="4"/>
  </w:num>
  <w:num w:numId="3" w16cid:durableId="733746794">
    <w:abstractNumId w:val="2"/>
  </w:num>
  <w:num w:numId="4" w16cid:durableId="2078700209">
    <w:abstractNumId w:val="7"/>
  </w:num>
  <w:num w:numId="5" w16cid:durableId="391780320">
    <w:abstractNumId w:val="0"/>
  </w:num>
  <w:num w:numId="6" w16cid:durableId="1608003673">
    <w:abstractNumId w:val="3"/>
  </w:num>
  <w:num w:numId="7" w16cid:durableId="1304772054">
    <w:abstractNumId w:val="5"/>
  </w:num>
  <w:num w:numId="8" w16cid:durableId="779840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0524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E5"/>
    <w:rsid w:val="000B438C"/>
    <w:rsid w:val="000E1C56"/>
    <w:rsid w:val="00135045"/>
    <w:rsid w:val="00183085"/>
    <w:rsid w:val="001F0903"/>
    <w:rsid w:val="002258CB"/>
    <w:rsid w:val="00267B79"/>
    <w:rsid w:val="002C454C"/>
    <w:rsid w:val="00321EFE"/>
    <w:rsid w:val="003D7708"/>
    <w:rsid w:val="00402DCC"/>
    <w:rsid w:val="00421615"/>
    <w:rsid w:val="00435F24"/>
    <w:rsid w:val="004750D5"/>
    <w:rsid w:val="00484909"/>
    <w:rsid w:val="0049269E"/>
    <w:rsid w:val="004971F9"/>
    <w:rsid w:val="004B48B5"/>
    <w:rsid w:val="004D0AFB"/>
    <w:rsid w:val="004E58B9"/>
    <w:rsid w:val="00512F77"/>
    <w:rsid w:val="00531214"/>
    <w:rsid w:val="005C1414"/>
    <w:rsid w:val="00607786"/>
    <w:rsid w:val="00641D00"/>
    <w:rsid w:val="00653A67"/>
    <w:rsid w:val="006A2E1F"/>
    <w:rsid w:val="006E0DCC"/>
    <w:rsid w:val="007D141F"/>
    <w:rsid w:val="00806F18"/>
    <w:rsid w:val="008E2E77"/>
    <w:rsid w:val="008E5137"/>
    <w:rsid w:val="008F6F4C"/>
    <w:rsid w:val="00915AA8"/>
    <w:rsid w:val="00954426"/>
    <w:rsid w:val="009A3F48"/>
    <w:rsid w:val="00A20975"/>
    <w:rsid w:val="00A94217"/>
    <w:rsid w:val="00AA313C"/>
    <w:rsid w:val="00AD21E2"/>
    <w:rsid w:val="00B01607"/>
    <w:rsid w:val="00B359BE"/>
    <w:rsid w:val="00B411E5"/>
    <w:rsid w:val="00B733AA"/>
    <w:rsid w:val="00BF0794"/>
    <w:rsid w:val="00C01063"/>
    <w:rsid w:val="00C17349"/>
    <w:rsid w:val="00C4481B"/>
    <w:rsid w:val="00C4581C"/>
    <w:rsid w:val="00C618C6"/>
    <w:rsid w:val="00C71F8C"/>
    <w:rsid w:val="00CA2DE5"/>
    <w:rsid w:val="00CA51A2"/>
    <w:rsid w:val="00CB185B"/>
    <w:rsid w:val="00CC1C8B"/>
    <w:rsid w:val="00D11D7A"/>
    <w:rsid w:val="00D32AF6"/>
    <w:rsid w:val="00D626F8"/>
    <w:rsid w:val="00D9688D"/>
    <w:rsid w:val="00DD2823"/>
    <w:rsid w:val="00DE74E3"/>
    <w:rsid w:val="00DE7918"/>
    <w:rsid w:val="00E21F69"/>
    <w:rsid w:val="00E87AB5"/>
    <w:rsid w:val="00F20A43"/>
    <w:rsid w:val="00F6099B"/>
    <w:rsid w:val="00F73A4F"/>
    <w:rsid w:val="00F7641E"/>
    <w:rsid w:val="00FB6579"/>
    <w:rsid w:val="00FF4D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2503FF"/>
  <w15:chartTrackingRefBased/>
  <w15:docId w15:val="{1DD941FF-00F0-4D39-BDAC-45975099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2DE5"/>
    <w:pPr>
      <w:spacing w:after="240" w:line="240" w:lineRule="auto"/>
      <w:jc w:val="both"/>
    </w:pPr>
    <w:rPr>
      <w:rFonts w:ascii="Times New Roman" w:hAnsi="Times New Roman" w:eastAsia="SimSun" w:cs="Times New Roman"/>
      <w:kern w:val="0"/>
      <w:sz w:val="24"/>
      <w:szCs w:val="24"/>
      <w:lang w:val="en-GB" w:eastAsia="zh-CN" w:bidi="ar-AE"/>
      <w14:ligatures w14:val="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CA2DE5"/>
    <w:rPr>
      <w:lang w:eastAsia="en-GB"/>
    </w:rPr>
  </w:style>
  <w:style w:type="character" w:styleId="BodyTextChar" w:customStyle="1">
    <w:name w:val="Body Text Char"/>
    <w:basedOn w:val="DefaultParagraphFont"/>
    <w:link w:val="BodyText"/>
    <w:rsid w:val="00CA2DE5"/>
    <w:rPr>
      <w:rFonts w:ascii="Times New Roman" w:hAnsi="Times New Roman" w:eastAsia="SimSun" w:cs="Times New Roman"/>
      <w:kern w:val="0"/>
      <w:sz w:val="24"/>
      <w:szCs w:val="24"/>
      <w:lang w:val="en-GB" w:eastAsia="en-GB" w:bidi="ar-AE"/>
      <w14:ligatures w14:val="none"/>
    </w:rPr>
  </w:style>
  <w:style w:type="paragraph" w:styleId="Header">
    <w:name w:val="header"/>
    <w:basedOn w:val="Normal"/>
    <w:link w:val="HeaderChar"/>
    <w:uiPriority w:val="99"/>
    <w:unhideWhenUsed/>
    <w:rsid w:val="00653A67"/>
    <w:pPr>
      <w:tabs>
        <w:tab w:val="center" w:pos="4536"/>
        <w:tab w:val="right" w:pos="9072"/>
      </w:tabs>
      <w:spacing w:after="0"/>
    </w:pPr>
  </w:style>
  <w:style w:type="character" w:styleId="HeaderChar" w:customStyle="1">
    <w:name w:val="Header Char"/>
    <w:basedOn w:val="DefaultParagraphFont"/>
    <w:link w:val="Header"/>
    <w:uiPriority w:val="99"/>
    <w:rsid w:val="00653A67"/>
    <w:rPr>
      <w:rFonts w:ascii="Times New Roman" w:hAnsi="Times New Roman" w:eastAsia="SimSun" w:cs="Times New Roman"/>
      <w:kern w:val="0"/>
      <w:sz w:val="24"/>
      <w:szCs w:val="24"/>
      <w:lang w:val="en-GB" w:eastAsia="zh-CN" w:bidi="ar-AE"/>
      <w14:ligatures w14:val="none"/>
    </w:rPr>
  </w:style>
  <w:style w:type="paragraph" w:styleId="Footer">
    <w:name w:val="footer"/>
    <w:basedOn w:val="Normal"/>
    <w:link w:val="FooterChar"/>
    <w:unhideWhenUsed/>
    <w:rsid w:val="00653A67"/>
    <w:pPr>
      <w:tabs>
        <w:tab w:val="center" w:pos="4536"/>
        <w:tab w:val="right" w:pos="9072"/>
      </w:tabs>
      <w:spacing w:after="0"/>
    </w:pPr>
  </w:style>
  <w:style w:type="character" w:styleId="FooterChar" w:customStyle="1">
    <w:name w:val="Footer Char"/>
    <w:basedOn w:val="DefaultParagraphFont"/>
    <w:link w:val="Footer"/>
    <w:rsid w:val="00653A67"/>
    <w:rPr>
      <w:rFonts w:ascii="Times New Roman" w:hAnsi="Times New Roman" w:eastAsia="SimSun" w:cs="Times New Roman"/>
      <w:kern w:val="0"/>
      <w:sz w:val="24"/>
      <w:szCs w:val="24"/>
      <w:lang w:val="en-GB" w:eastAsia="zh-CN" w:bidi="ar-AE"/>
      <w14:ligatures w14:val="none"/>
    </w:rPr>
  </w:style>
  <w:style w:type="paragraph" w:styleId="ListParagraph">
    <w:name w:val="List Paragraph"/>
    <w:basedOn w:val="Normal"/>
    <w:uiPriority w:val="34"/>
    <w:qFormat/>
    <w:rsid w:val="00653A67"/>
    <w:pPr>
      <w:ind w:left="720"/>
      <w:contextualSpacing/>
    </w:pPr>
  </w:style>
  <w:style w:type="paragraph" w:styleId="FootnoteText">
    <w:name w:val="footnote text"/>
    <w:basedOn w:val="Normal"/>
    <w:link w:val="FootnoteTextChar"/>
    <w:uiPriority w:val="99"/>
    <w:semiHidden/>
    <w:unhideWhenUsed/>
    <w:rsid w:val="00D32AF6"/>
    <w:pPr>
      <w:spacing w:after="0"/>
    </w:pPr>
    <w:rPr>
      <w:sz w:val="20"/>
      <w:szCs w:val="20"/>
    </w:rPr>
  </w:style>
  <w:style w:type="character" w:styleId="FootnoteTextChar" w:customStyle="1">
    <w:name w:val="Footnote Text Char"/>
    <w:basedOn w:val="DefaultParagraphFont"/>
    <w:link w:val="FootnoteText"/>
    <w:uiPriority w:val="99"/>
    <w:semiHidden/>
    <w:rsid w:val="00D32AF6"/>
    <w:rPr>
      <w:rFonts w:ascii="Times New Roman" w:hAnsi="Times New Roman" w:eastAsia="SimSun" w:cs="Times New Roman"/>
      <w:kern w:val="0"/>
      <w:sz w:val="20"/>
      <w:szCs w:val="20"/>
      <w:lang w:val="en-GB" w:eastAsia="zh-CN" w:bidi="ar-AE"/>
      <w14:ligatures w14:val="none"/>
    </w:rPr>
  </w:style>
  <w:style w:type="character" w:styleId="FootnoteReference">
    <w:name w:val="footnote reference"/>
    <w:basedOn w:val="DefaultParagraphFont"/>
    <w:uiPriority w:val="99"/>
    <w:semiHidden/>
    <w:unhideWhenUsed/>
    <w:rsid w:val="00D32AF6"/>
    <w:rPr>
      <w:vertAlign w:val="superscript"/>
    </w:rPr>
  </w:style>
  <w:style w:type="character" w:styleId="Hyperlink">
    <w:name w:val="Hyperlink"/>
    <w:basedOn w:val="DefaultParagraphFont"/>
    <w:uiPriority w:val="99"/>
    <w:semiHidden/>
    <w:unhideWhenUsed/>
    <w:rsid w:val="00E87AB5"/>
    <w:rPr>
      <w:color w:val="0000FF"/>
      <w:u w:val="single"/>
    </w:rPr>
  </w:style>
  <w:style w:type="paragraph" w:styleId="Schedule2L9" w:customStyle="1">
    <w:name w:val="Schedule 2 L9"/>
    <w:basedOn w:val="Normal"/>
    <w:uiPriority w:val="99"/>
    <w:rsid w:val="0049269E"/>
    <w:pPr>
      <w:numPr>
        <w:ilvl w:val="8"/>
        <w:numId w:val="7"/>
      </w:numPr>
      <w:outlineLvl w:val="8"/>
    </w:pPr>
    <w:rPr>
      <w:bCs/>
      <w:lang w:eastAsia="en-GB"/>
    </w:rPr>
  </w:style>
  <w:style w:type="paragraph" w:styleId="Schedule2L8" w:customStyle="1">
    <w:name w:val="Schedule 2 L8"/>
    <w:basedOn w:val="Normal"/>
    <w:uiPriority w:val="99"/>
    <w:rsid w:val="0049269E"/>
    <w:pPr>
      <w:numPr>
        <w:ilvl w:val="7"/>
        <w:numId w:val="7"/>
      </w:numPr>
      <w:outlineLvl w:val="7"/>
    </w:pPr>
    <w:rPr>
      <w:bCs/>
      <w:lang w:eastAsia="en-GB"/>
    </w:rPr>
  </w:style>
  <w:style w:type="paragraph" w:styleId="Schedule2L7" w:customStyle="1">
    <w:name w:val="Schedule 2 L7"/>
    <w:basedOn w:val="Normal"/>
    <w:next w:val="Normal"/>
    <w:qFormat/>
    <w:rsid w:val="0049269E"/>
    <w:pPr>
      <w:numPr>
        <w:ilvl w:val="6"/>
        <w:numId w:val="7"/>
      </w:numPr>
      <w:outlineLvl w:val="6"/>
    </w:pPr>
    <w:rPr>
      <w:bCs/>
      <w:lang w:eastAsia="en-GB"/>
    </w:rPr>
  </w:style>
  <w:style w:type="paragraph" w:styleId="Schedule2L6" w:customStyle="1">
    <w:name w:val="Schedule 2 L6"/>
    <w:basedOn w:val="Normal"/>
    <w:next w:val="BodyText3"/>
    <w:qFormat/>
    <w:rsid w:val="0049269E"/>
    <w:pPr>
      <w:numPr>
        <w:ilvl w:val="5"/>
        <w:numId w:val="7"/>
      </w:numPr>
      <w:outlineLvl w:val="5"/>
    </w:pPr>
    <w:rPr>
      <w:bCs/>
      <w:lang w:eastAsia="en-GB"/>
    </w:rPr>
  </w:style>
  <w:style w:type="paragraph" w:styleId="Schedule2L5" w:customStyle="1">
    <w:name w:val="Schedule 2 L5"/>
    <w:basedOn w:val="Normal"/>
    <w:next w:val="BodyText2"/>
    <w:qFormat/>
    <w:rsid w:val="0049269E"/>
    <w:pPr>
      <w:numPr>
        <w:ilvl w:val="4"/>
        <w:numId w:val="7"/>
      </w:numPr>
      <w:outlineLvl w:val="4"/>
    </w:pPr>
    <w:rPr>
      <w:bCs/>
      <w:lang w:eastAsia="en-GB"/>
    </w:rPr>
  </w:style>
  <w:style w:type="paragraph" w:styleId="Schedule2L4" w:customStyle="1">
    <w:name w:val="Schedule 2 L4"/>
    <w:basedOn w:val="Normal"/>
    <w:next w:val="Normal"/>
    <w:qFormat/>
    <w:rsid w:val="0049269E"/>
    <w:pPr>
      <w:numPr>
        <w:ilvl w:val="3"/>
        <w:numId w:val="7"/>
      </w:numPr>
      <w:outlineLvl w:val="3"/>
    </w:pPr>
    <w:rPr>
      <w:bCs/>
      <w:lang w:eastAsia="en-GB"/>
    </w:rPr>
  </w:style>
  <w:style w:type="paragraph" w:styleId="Schedule2L3" w:customStyle="1">
    <w:name w:val="Schedule 2 L3"/>
    <w:basedOn w:val="Normal"/>
    <w:next w:val="Normal"/>
    <w:qFormat/>
    <w:rsid w:val="0049269E"/>
    <w:pPr>
      <w:numPr>
        <w:ilvl w:val="2"/>
        <w:numId w:val="7"/>
      </w:numPr>
      <w:outlineLvl w:val="2"/>
    </w:pPr>
    <w:rPr>
      <w:bCs/>
      <w:lang w:eastAsia="en-GB"/>
    </w:rPr>
  </w:style>
  <w:style w:type="paragraph" w:styleId="Schedule2L2" w:customStyle="1">
    <w:name w:val="Schedule 2 L2"/>
    <w:basedOn w:val="Normal"/>
    <w:next w:val="BodyText"/>
    <w:qFormat/>
    <w:rsid w:val="0049269E"/>
    <w:pPr>
      <w:numPr>
        <w:ilvl w:val="1"/>
        <w:numId w:val="7"/>
      </w:numPr>
      <w:jc w:val="center"/>
      <w:outlineLvl w:val="1"/>
    </w:pPr>
    <w:rPr>
      <w:b/>
      <w:bCs/>
      <w:caps/>
      <w:lang w:eastAsia="en-GB"/>
    </w:rPr>
  </w:style>
  <w:style w:type="paragraph" w:styleId="Schedule2L1" w:customStyle="1">
    <w:name w:val="Schedule 2 L1"/>
    <w:basedOn w:val="Normal"/>
    <w:next w:val="BodyText"/>
    <w:link w:val="Schedule2L1Char"/>
    <w:qFormat/>
    <w:rsid w:val="0049269E"/>
    <w:pPr>
      <w:keepNext/>
      <w:pageBreakBefore/>
      <w:numPr>
        <w:numId w:val="7"/>
      </w:numPr>
      <w:jc w:val="center"/>
      <w:outlineLvl w:val="0"/>
    </w:pPr>
    <w:rPr>
      <w:b/>
      <w:bCs/>
      <w:caps/>
      <w:lang w:eastAsia="en-GB"/>
    </w:rPr>
  </w:style>
  <w:style w:type="character" w:styleId="Schedule2L1Char" w:customStyle="1">
    <w:name w:val="Schedule 2 L1 Char"/>
    <w:basedOn w:val="BodyTextChar"/>
    <w:link w:val="Schedule2L1"/>
    <w:rsid w:val="0049269E"/>
    <w:rPr>
      <w:rFonts w:ascii="Times New Roman" w:hAnsi="Times New Roman" w:eastAsia="SimSun" w:cs="Times New Roman"/>
      <w:b/>
      <w:bCs/>
      <w:caps/>
      <w:kern w:val="0"/>
      <w:sz w:val="24"/>
      <w:szCs w:val="24"/>
      <w:lang w:val="en-GB" w:eastAsia="en-GB" w:bidi="ar-AE"/>
      <w14:ligatures w14:val="none"/>
    </w:rPr>
  </w:style>
  <w:style w:type="paragraph" w:styleId="BodyText3">
    <w:name w:val="Body Text 3"/>
    <w:basedOn w:val="Normal"/>
    <w:link w:val="BodyText3Char"/>
    <w:uiPriority w:val="99"/>
    <w:semiHidden/>
    <w:unhideWhenUsed/>
    <w:rsid w:val="0049269E"/>
    <w:pPr>
      <w:spacing w:after="120"/>
    </w:pPr>
    <w:rPr>
      <w:sz w:val="16"/>
      <w:szCs w:val="16"/>
    </w:rPr>
  </w:style>
  <w:style w:type="character" w:styleId="BodyText3Char" w:customStyle="1">
    <w:name w:val="Body Text 3 Char"/>
    <w:basedOn w:val="DefaultParagraphFont"/>
    <w:link w:val="BodyText3"/>
    <w:uiPriority w:val="99"/>
    <w:semiHidden/>
    <w:rsid w:val="0049269E"/>
    <w:rPr>
      <w:rFonts w:ascii="Times New Roman" w:hAnsi="Times New Roman" w:eastAsia="SimSun" w:cs="Times New Roman"/>
      <w:kern w:val="0"/>
      <w:sz w:val="16"/>
      <w:szCs w:val="16"/>
      <w:lang w:val="en-GB" w:eastAsia="zh-CN" w:bidi="ar-AE"/>
      <w14:ligatures w14:val="none"/>
    </w:rPr>
  </w:style>
  <w:style w:type="paragraph" w:styleId="BodyText2">
    <w:name w:val="Body Text 2"/>
    <w:basedOn w:val="Normal"/>
    <w:link w:val="BodyText2Char"/>
    <w:uiPriority w:val="99"/>
    <w:semiHidden/>
    <w:unhideWhenUsed/>
    <w:rsid w:val="0049269E"/>
    <w:pPr>
      <w:spacing w:after="120" w:line="480" w:lineRule="auto"/>
    </w:pPr>
  </w:style>
  <w:style w:type="character" w:styleId="BodyText2Char" w:customStyle="1">
    <w:name w:val="Body Text 2 Char"/>
    <w:basedOn w:val="DefaultParagraphFont"/>
    <w:link w:val="BodyText2"/>
    <w:uiPriority w:val="99"/>
    <w:semiHidden/>
    <w:rsid w:val="0049269E"/>
    <w:rPr>
      <w:rFonts w:ascii="Times New Roman" w:hAnsi="Times New Roman" w:eastAsia="SimSun" w:cs="Times New Roman"/>
      <w:kern w:val="0"/>
      <w:sz w:val="24"/>
      <w:szCs w:val="24"/>
      <w:lang w:val="en-GB" w:eastAsia="zh-CN" w:bidi="ar-AE"/>
      <w14:ligatures w14:val="none"/>
    </w:rPr>
  </w:style>
  <w:style w:type="paragraph" w:styleId="FooterRight" w:customStyle="1">
    <w:name w:val="Footer Right"/>
    <w:basedOn w:val="Footer"/>
    <w:rsid w:val="000B438C"/>
    <w:pPr>
      <w:tabs>
        <w:tab w:val="clear" w:pos="4536"/>
        <w:tab w:val="clear" w:pos="9072"/>
      </w:tabs>
      <w:jc w:val="right"/>
    </w:pPr>
    <w:rPr>
      <w:sz w:val="16"/>
      <w:szCs w:val="16"/>
      <w:lang w:bidi="he-IL"/>
    </w:rPr>
  </w:style>
  <w:style w:type="character" w:styleId="PageNumber">
    <w:name w:val="page number"/>
    <w:basedOn w:val="DefaultParagraphFont"/>
    <w:rsid w:val="000B438C"/>
    <w:rPr>
      <w:rFonts w:ascii="Times New Roman" w:hAnsi="Times New Roman" w:eastAsia="SimSun" w:cs="Times New Roman"/>
      <w:b w:val="0"/>
      <w:sz w:val="24"/>
      <w:szCs w:val="24"/>
      <w:lang w:val="en-GB" w:bidi="ar-AE"/>
    </w:rPr>
  </w:style>
  <w:style w:type="paragraph" w:styleId="Revision">
    <w:name w:val="Revision"/>
    <w:hidden/>
    <w:uiPriority w:val="99"/>
    <w:semiHidden/>
    <w:rsid w:val="00D626F8"/>
    <w:pPr>
      <w:spacing w:after="0" w:line="240" w:lineRule="auto"/>
    </w:pPr>
    <w:rPr>
      <w:rFonts w:ascii="Times New Roman" w:hAnsi="Times New Roman" w:eastAsia="SimSun" w:cs="Times New Roman"/>
      <w:kern w:val="0"/>
      <w:sz w:val="24"/>
      <w:szCs w:val="24"/>
      <w:lang w:val="en-GB" w:eastAsia="zh-CN" w:bidi="ar-AE"/>
      <w14:ligatures w14:val="none"/>
    </w:rPr>
  </w:style>
  <w:style w:type="character" w:styleId="CommentReference">
    <w:name w:val="annotation reference"/>
    <w:basedOn w:val="DefaultParagraphFont"/>
    <w:uiPriority w:val="99"/>
    <w:semiHidden/>
    <w:unhideWhenUsed/>
    <w:rsid w:val="00B359BE"/>
    <w:rPr>
      <w:sz w:val="16"/>
      <w:szCs w:val="16"/>
    </w:rPr>
  </w:style>
  <w:style w:type="paragraph" w:styleId="CommentText">
    <w:name w:val="annotation text"/>
    <w:basedOn w:val="Normal"/>
    <w:link w:val="CommentTextChar"/>
    <w:uiPriority w:val="99"/>
    <w:unhideWhenUsed/>
    <w:rsid w:val="00B359BE"/>
    <w:rPr>
      <w:sz w:val="20"/>
      <w:szCs w:val="20"/>
    </w:rPr>
  </w:style>
  <w:style w:type="character" w:styleId="CommentTextChar" w:customStyle="1">
    <w:name w:val="Comment Text Char"/>
    <w:basedOn w:val="DefaultParagraphFont"/>
    <w:link w:val="CommentText"/>
    <w:uiPriority w:val="99"/>
    <w:rsid w:val="00B359BE"/>
    <w:rPr>
      <w:rFonts w:ascii="Times New Roman" w:hAnsi="Times New Roman" w:eastAsia="SimSun" w:cs="Times New Roman"/>
      <w:kern w:val="0"/>
      <w:sz w:val="20"/>
      <w:szCs w:val="20"/>
      <w:lang w:val="en-GB" w:eastAsia="zh-CN" w:bidi="ar-A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ma.eu.com/documents-guidelines/documents/category/rfr-destination-table"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1899-12-31T23:00:00.0000000Z</dcterms:created>
  <dcterms:modified xsi:type="dcterms:W3CDTF">1899-12-31T23:00:00.0000000Z</dcterms:modified>
</coreProperties>
</file>

<file path=docProps/custom.xml><?xml version="1.0" encoding="utf-8"?>
<op:Properties xmlns:vt="http://schemas.openxmlformats.org/officeDocument/2006/docPropsVTypes" xmlns:op="http://schemas.openxmlformats.org/officeDocument/2006/custom-properties"/>
</file>